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0"/>
        <w:jc w:val="center"/>
        <w:rPr>
          <w:rFonts w:cs="Times New Roman"/>
          <w:color w:val="000000"/>
          <w:sz w:val="24"/>
          <w:szCs w:val="24"/>
          <w:lang w:val="ru-RU"/>
        </w:rPr>
      </w:pPr>
      <w:r>
        <w:rPr>
          <w:rFonts w:cs="Times New Roman"/>
          <w:b/>
          <w:bCs/>
          <w:color w:val="000000"/>
          <w:sz w:val="24"/>
          <w:szCs w:val="24"/>
          <w:lang w:val="ru-RU"/>
        </w:rPr>
        <w:t xml:space="preserve">Учебный план начального общего образования </w:t>
      </w:r>
    </w:p>
    <w:p>
      <w:pPr>
        <w:pStyle w:val="Normal"/>
        <w:spacing w:before="0" w:after="280"/>
        <w:jc w:val="center"/>
        <w:rPr>
          <w:rFonts w:cs="Times New Roman"/>
          <w:color w:val="000000"/>
          <w:sz w:val="24"/>
          <w:szCs w:val="24"/>
          <w:lang w:val="ru-RU"/>
        </w:rPr>
      </w:pPr>
      <w:r>
        <w:rPr>
          <w:rFonts w:cs="Times New Roman"/>
          <w:b/>
          <w:bCs/>
          <w:color w:val="000000"/>
          <w:sz w:val="24"/>
          <w:szCs w:val="24"/>
          <w:lang w:val="ru-RU"/>
        </w:rPr>
        <w:t>для обучающихся</w:t>
      </w:r>
      <w:r>
        <w:rPr>
          <w:lang w:val="ru-RU"/>
        </w:rPr>
        <w:br/>
      </w:r>
      <w:r>
        <w:rPr>
          <w:rFonts w:cs="Times New Roman"/>
          <w:b/>
          <w:bCs/>
          <w:color w:val="000000"/>
          <w:sz w:val="24"/>
          <w:szCs w:val="24"/>
          <w:lang w:val="ru-RU"/>
        </w:rPr>
        <w:t>с ЗПР</w:t>
      </w:r>
      <w:r>
        <w:rPr>
          <w:rFonts w:cs="Times New Roman"/>
          <w:b/>
          <w:bCs/>
          <w:color w:val="000000"/>
          <w:sz w:val="24"/>
          <w:szCs w:val="24"/>
        </w:rPr>
        <w:t> </w:t>
      </w:r>
      <w:r>
        <w:rPr>
          <w:rFonts w:cs="Times New Roman"/>
          <w:b/>
          <w:bCs/>
          <w:color w:val="000000"/>
          <w:sz w:val="24"/>
          <w:szCs w:val="24"/>
          <w:lang w:val="ru-RU"/>
        </w:rPr>
        <w:t>по варианту ФАОП 7.2</w:t>
      </w:r>
    </w:p>
    <w:p>
      <w:pPr>
        <w:pStyle w:val="Normal"/>
        <w:spacing w:before="280" w:after="280"/>
        <w:jc w:val="both"/>
        <w:rPr/>
      </w:pPr>
      <w:r>
        <w:rPr>
          <w:rFonts w:cs="Times New Roman"/>
          <w:color w:val="000000"/>
          <w:sz w:val="24"/>
          <w:szCs w:val="24"/>
          <w:lang w:val="ru-RU"/>
        </w:rPr>
        <w:t>Учебный план разработан на основе варианта № 1 федерального учебного плана для обучающихся с ЗПР (вариант 7.2) для образовательных организаций, в которых обучение ведется на русском языке.</w:t>
      </w:r>
    </w:p>
    <w:p>
      <w:pPr>
        <w:pStyle w:val="Normal"/>
        <w:spacing w:before="280" w:after="280"/>
        <w:jc w:val="both"/>
        <w:rPr/>
      </w:pPr>
      <w:r>
        <w:rPr>
          <w:rFonts w:cs="Times New Roman"/>
          <w:color w:val="000000"/>
          <w:sz w:val="24"/>
          <w:szCs w:val="24"/>
          <w:lang w:val="ru-RU"/>
        </w:rPr>
        <w:t>Учебный план</w:t>
      </w:r>
      <w:r>
        <w:rPr>
          <w:rFonts w:cs="Times New Roman"/>
          <w:color w:val="000000"/>
          <w:sz w:val="24"/>
          <w:szCs w:val="24"/>
        </w:rPr>
        <w:t> </w:t>
      </w:r>
      <w:r>
        <w:rPr>
          <w:rFonts w:cs="Times New Roman"/>
          <w:color w:val="000000"/>
          <w:sz w:val="24"/>
          <w:szCs w:val="24"/>
          <w:lang w:val="ru-RU"/>
        </w:rPr>
        <w:t>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Сроки освоения АООП НОО (вариант 7.2) обучающимися с ЗПР составляют пять лет.</w:t>
      </w:r>
    </w:p>
    <w:p>
      <w:pPr>
        <w:pStyle w:val="Normal"/>
        <w:spacing w:before="280" w:after="280"/>
        <w:jc w:val="both"/>
        <w:rPr/>
      </w:pPr>
      <w:r>
        <w:rPr>
          <w:rFonts w:cs="Times New Roman"/>
          <w:color w:val="000000"/>
          <w:sz w:val="24"/>
          <w:szCs w:val="24"/>
          <w:lang w:val="ru-RU"/>
        </w:rPr>
        <w:t>В учебном плане представлены 8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w:t>
      </w:r>
      <w:r>
        <w:rPr>
          <w:rFonts w:cs="Times New Roman"/>
          <w:color w:val="000000"/>
          <w:sz w:val="24"/>
          <w:szCs w:val="24"/>
        </w:rPr>
        <w:t> </w:t>
      </w:r>
      <w:r>
        <w:rPr>
          <w:rFonts w:cs="Times New Roman"/>
          <w:color w:val="000000"/>
          <w:sz w:val="24"/>
          <w:szCs w:val="24"/>
          <w:lang w:val="ru-RU"/>
        </w:rPr>
        <w:t>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pPr>
        <w:pStyle w:val="Normal"/>
        <w:spacing w:before="280" w:after="280"/>
        <w:jc w:val="both"/>
        <w:rPr/>
      </w:pPr>
      <w:r>
        <w:rPr>
          <w:rFonts w:cs="Times New Roman"/>
          <w:color w:val="000000"/>
          <w:sz w:val="24"/>
          <w:szCs w:val="24"/>
          <w:lang w:val="ru-RU"/>
        </w:rPr>
        <w:t>Учебный план состоит из двух частей –</w:t>
      </w:r>
      <w:r>
        <w:rPr>
          <w:rFonts w:cs="Times New Roman"/>
          <w:color w:val="000000"/>
          <w:sz w:val="24"/>
          <w:szCs w:val="24"/>
        </w:rPr>
        <w:t> </w:t>
      </w:r>
      <w:r>
        <w:rPr>
          <w:rFonts w:cs="Times New Roman"/>
          <w:color w:val="000000"/>
          <w:sz w:val="24"/>
          <w:szCs w:val="24"/>
          <w:lang w:val="ru-RU"/>
        </w:rPr>
        <w:t>обязательной части и части, формируемой участниками образовательных отношений.</w:t>
      </w:r>
    </w:p>
    <w:p>
      <w:pPr>
        <w:pStyle w:val="Normal"/>
        <w:spacing w:before="280" w:after="280"/>
        <w:jc w:val="both"/>
        <w:rPr>
          <w:rFonts w:cs="Times New Roman"/>
          <w:color w:val="000000"/>
          <w:sz w:val="24"/>
          <w:szCs w:val="24"/>
          <w:lang w:val="ru-RU"/>
        </w:rPr>
      </w:pPr>
      <w:r>
        <w:rPr>
          <w:rFonts w:cs="Times New Roman"/>
          <w:b/>
          <w:bCs/>
          <w:color w:val="000000"/>
          <w:sz w:val="24"/>
          <w:szCs w:val="24"/>
          <w:lang w:val="ru-RU"/>
        </w:rPr>
        <w:t>Обязательная часть</w:t>
      </w:r>
      <w:r>
        <w:rPr>
          <w:rFonts w:cs="Times New Roman"/>
          <w:b/>
          <w:bCs/>
          <w:color w:val="000000"/>
          <w:sz w:val="24"/>
          <w:szCs w:val="24"/>
        </w:rPr>
        <w:t> </w:t>
      </w:r>
      <w:r>
        <w:rPr>
          <w:rFonts w:cs="Times New Roman"/>
          <w:b/>
          <w:bCs/>
          <w:color w:val="000000"/>
          <w:sz w:val="24"/>
          <w:szCs w:val="24"/>
          <w:lang w:val="ru-RU"/>
        </w:rPr>
        <w:t>учебного плана</w:t>
      </w:r>
      <w:r>
        <w:rPr>
          <w:rFonts w:cs="Times New Roman"/>
          <w:color w:val="000000"/>
          <w:sz w:val="24"/>
          <w:szCs w:val="24"/>
          <w:lang w:val="ru-RU"/>
        </w:rPr>
        <w:t xml:space="preserve">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r>
        <w:rPr>
          <w:lang w:val="ru-RU"/>
        </w:rPr>
        <w:br/>
        <w:br/>
      </w:r>
      <w:r>
        <w:rPr>
          <w:rFonts w:cs="Times New Roman"/>
          <w:color w:val="000000"/>
          <w:sz w:val="24"/>
          <w:szCs w:val="24"/>
          <w:lang w:val="ru-RU"/>
        </w:rPr>
        <w:t>Обязательная часть</w:t>
      </w:r>
      <w:r>
        <w:rPr>
          <w:rFonts w:cs="Times New Roman"/>
          <w:color w:val="000000"/>
          <w:sz w:val="24"/>
          <w:szCs w:val="24"/>
        </w:rPr>
        <w:t> </w:t>
      </w:r>
      <w:r>
        <w:rPr>
          <w:rFonts w:cs="Times New Roman"/>
          <w:color w:val="000000"/>
          <w:sz w:val="24"/>
          <w:szCs w:val="24"/>
          <w:lang w:val="ru-RU"/>
        </w:rPr>
        <w:t>отражает содержание образования, которое обеспечивает достижение важнейших целей современного образования обучающихся с ЗПР:</w:t>
      </w:r>
    </w:p>
    <w:p>
      <w:pPr>
        <w:pStyle w:val="Normal"/>
        <w:numPr>
          <w:ilvl w:val="0"/>
          <w:numId w:val="1"/>
        </w:numPr>
        <w:spacing w:before="280" w:after="0"/>
        <w:ind w:hanging="360" w:left="780" w:right="180"/>
        <w:contextualSpacing/>
        <w:jc w:val="both"/>
        <w:rPr/>
      </w:pPr>
      <w:r>
        <w:rPr>
          <w:rFonts w:cs="Times New Roman"/>
          <w:color w:val="000000"/>
          <w:sz w:val="24"/>
          <w:szCs w:val="24"/>
          <w:lang w:val="ru-RU"/>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pPr>
        <w:pStyle w:val="Normal"/>
        <w:numPr>
          <w:ilvl w:val="0"/>
          <w:numId w:val="1"/>
        </w:numPr>
        <w:spacing w:before="0" w:after="0"/>
        <w:ind w:hanging="360" w:left="780" w:right="180"/>
        <w:contextualSpacing/>
        <w:jc w:val="both"/>
        <w:rPr/>
      </w:pPr>
      <w:r>
        <w:rPr>
          <w:rFonts w:cs="Times New Roman"/>
          <w:color w:val="000000"/>
          <w:sz w:val="24"/>
          <w:szCs w:val="24"/>
          <w:lang w:val="ru-RU"/>
        </w:rPr>
        <w:t>готовность обучающихся к продолжению образования на уровне основного общего образования;</w:t>
      </w:r>
    </w:p>
    <w:p>
      <w:pPr>
        <w:pStyle w:val="Normal"/>
        <w:numPr>
          <w:ilvl w:val="0"/>
          <w:numId w:val="1"/>
        </w:numPr>
        <w:spacing w:before="0" w:after="0"/>
        <w:ind w:hanging="360" w:left="780" w:right="180"/>
        <w:contextualSpacing/>
        <w:jc w:val="both"/>
        <w:rPr/>
      </w:pPr>
      <w:r>
        <w:rPr>
          <w:rFonts w:cs="Times New Roman"/>
          <w:color w:val="000000"/>
          <w:sz w:val="24"/>
          <w:szCs w:val="24"/>
          <w:lang w:val="ru-RU"/>
        </w:rPr>
        <w:t>формирование основ нравственного развития обучающихся, приобщение их к общекультурным, национальным и этнокультурным ценностям;</w:t>
      </w:r>
    </w:p>
    <w:p>
      <w:pPr>
        <w:pStyle w:val="Normal"/>
        <w:numPr>
          <w:ilvl w:val="0"/>
          <w:numId w:val="1"/>
        </w:numPr>
        <w:spacing w:before="0" w:after="0"/>
        <w:ind w:hanging="360" w:left="780" w:right="180"/>
        <w:contextualSpacing/>
        <w:jc w:val="both"/>
        <w:rPr/>
      </w:pPr>
      <w:r>
        <w:rPr>
          <w:rFonts w:cs="Times New Roman"/>
          <w:color w:val="000000"/>
          <w:sz w:val="24"/>
          <w:szCs w:val="24"/>
          <w:lang w:val="ru-RU"/>
        </w:rPr>
        <w:t>формирование здорового образа жизни, элементарных правил поведения в экстремальных ситуациях;</w:t>
      </w:r>
    </w:p>
    <w:p>
      <w:pPr>
        <w:pStyle w:val="Normal"/>
        <w:numPr>
          <w:ilvl w:val="0"/>
          <w:numId w:val="1"/>
        </w:numPr>
        <w:spacing w:before="0" w:after="280"/>
        <w:ind w:hanging="360" w:left="780" w:right="180"/>
        <w:jc w:val="both"/>
        <w:rPr/>
      </w:pPr>
      <w:r>
        <w:rPr>
          <w:rFonts w:cs="Times New Roman"/>
          <w:color w:val="000000"/>
          <w:sz w:val="24"/>
          <w:szCs w:val="24"/>
          <w:lang w:val="ru-RU"/>
        </w:rPr>
        <w:t>личностное развитие обучающегося в соответствии с его индивидуальностью.</w:t>
      </w:r>
    </w:p>
    <w:p>
      <w:pPr>
        <w:pStyle w:val="Normal"/>
        <w:spacing w:before="280" w:after="280"/>
        <w:jc w:val="both"/>
        <w:rPr/>
      </w:pPr>
      <w:r>
        <w:rPr>
          <w:rFonts w:cs="Times New Roman"/>
          <w:color w:val="000000"/>
          <w:sz w:val="24"/>
          <w:szCs w:val="24"/>
          <w:lang w:val="ru-RU"/>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pPr>
        <w:pStyle w:val="Normal"/>
        <w:spacing w:before="280" w:after="280"/>
        <w:jc w:val="both"/>
        <w:rPr/>
      </w:pPr>
      <w:r>
        <w:rPr>
          <w:rFonts w:cs="Times New Roman"/>
          <w:color w:val="000000"/>
          <w:sz w:val="24"/>
          <w:szCs w:val="24"/>
          <w:lang w:val="ru-RU"/>
        </w:rPr>
        <w:t>Изучение учебного предмета «Иностранный язык» начинается с 3-го класса. На его изучение отводится 1 час в неделю. При проведении занятий по предмету «Иностранный язык» класс делится на две группы. В результате изучения предмета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pPr>
        <w:pStyle w:val="Normal"/>
        <w:spacing w:before="280" w:after="280"/>
        <w:jc w:val="both"/>
        <w:rPr/>
      </w:pPr>
      <w:r>
        <w:rPr>
          <w:rFonts w:cs="Times New Roman"/>
          <w:b/>
          <w:bCs/>
          <w:color w:val="000000"/>
          <w:sz w:val="24"/>
          <w:szCs w:val="24"/>
          <w:lang w:val="ru-RU"/>
        </w:rPr>
        <w:t>Часть учебного плана, формируемая участниками образовательных отношений</w:t>
      </w:r>
      <w:r>
        <w:rPr>
          <w:rFonts w:cs="Times New Roman"/>
          <w:color w:val="000000"/>
          <w:sz w:val="24"/>
          <w:szCs w:val="24"/>
          <w:lang w:val="ru-RU"/>
        </w:rPr>
        <w:t>,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используется:</w:t>
      </w:r>
    </w:p>
    <w:p>
      <w:pPr>
        <w:pStyle w:val="Normal"/>
        <w:numPr>
          <w:ilvl w:val="0"/>
          <w:numId w:val="2"/>
        </w:numPr>
        <w:spacing w:before="280" w:after="0"/>
        <w:ind w:hanging="360" w:left="780" w:right="180"/>
        <w:contextualSpacing/>
        <w:jc w:val="both"/>
        <w:rPr/>
      </w:pPr>
      <w:r>
        <w:rPr>
          <w:rFonts w:cs="Times New Roman"/>
          <w:color w:val="000000"/>
          <w:sz w:val="24"/>
          <w:szCs w:val="24"/>
          <w:lang w:val="ru-RU"/>
        </w:rP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pPr>
        <w:pStyle w:val="Normal"/>
        <w:numPr>
          <w:ilvl w:val="0"/>
          <w:numId w:val="2"/>
        </w:numPr>
        <w:spacing w:before="0" w:after="280"/>
        <w:ind w:hanging="360" w:left="780" w:right="180"/>
        <w:jc w:val="both"/>
        <w:rPr/>
      </w:pPr>
      <w:r>
        <w:rPr>
          <w:rFonts w:cs="Times New Roman"/>
          <w:color w:val="000000"/>
          <w:sz w:val="24"/>
          <w:szCs w:val="24"/>
          <w:lang w:val="ru-RU"/>
        </w:rPr>
        <w:t>на введение учебных курсов, обеспечивающих различные интересы обучающихся, в том числе этнокультурные (история и культура родного края).</w:t>
      </w:r>
    </w:p>
    <w:p>
      <w:pPr>
        <w:pStyle w:val="Normal"/>
        <w:spacing w:before="280" w:after="280"/>
        <w:jc w:val="both"/>
        <w:rPr>
          <w:rFonts w:cs="Times New Roman"/>
          <w:color w:val="000000"/>
          <w:sz w:val="24"/>
          <w:szCs w:val="24"/>
          <w:lang w:val="ru-RU"/>
        </w:rPr>
      </w:pPr>
      <w:r>
        <w:rPr>
          <w:rFonts w:cs="Times New Roman"/>
          <w:color w:val="000000"/>
          <w:sz w:val="24"/>
          <w:szCs w:val="24"/>
          <w:lang w:val="ru-RU"/>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r>
        <w:rPr>
          <w:lang w:val="ru-RU"/>
        </w:rPr>
        <w:br/>
        <w:br/>
      </w:r>
      <w:r>
        <w:rPr>
          <w:rFonts w:cs="Times New Roman"/>
          <w:color w:val="000000"/>
          <w:sz w:val="24"/>
          <w:szCs w:val="24"/>
          <w:lang w:val="ru-RU"/>
        </w:rPr>
        <w:t xml:space="preserve">Обязательным компонентом учебного плана является </w:t>
      </w:r>
      <w:r>
        <w:rPr>
          <w:rFonts w:cs="Times New Roman"/>
          <w:b/>
          <w:bCs/>
          <w:color w:val="000000"/>
          <w:sz w:val="24"/>
          <w:szCs w:val="24"/>
          <w:lang w:val="ru-RU"/>
        </w:rPr>
        <w:t>внеурочная деятельность</w:t>
      </w:r>
      <w:r>
        <w:rPr>
          <w:rFonts w:cs="Times New Roman"/>
          <w:color w:val="000000"/>
          <w:sz w:val="24"/>
          <w:szCs w:val="24"/>
          <w:lang w:val="ru-RU"/>
        </w:rPr>
        <w:t>.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r>
        <w:rPr>
          <w:lang w:val="ru-RU"/>
        </w:rPr>
        <w:br/>
        <w:br/>
      </w:r>
      <w:r>
        <w:rPr>
          <w:rFonts w:cs="Times New Roman"/>
          <w:b/>
          <w:bCs/>
          <w:color w:val="000000"/>
          <w:sz w:val="24"/>
          <w:szCs w:val="24"/>
          <w:lang w:val="ru-RU"/>
        </w:rPr>
        <w:t>Коррекционно-развивающая область</w:t>
      </w:r>
      <w:r>
        <w:rPr>
          <w:rFonts w:cs="Times New Roman"/>
          <w:color w:val="000000"/>
          <w:sz w:val="24"/>
          <w:szCs w:val="24"/>
        </w:rPr>
        <w:t> </w:t>
      </w:r>
      <w:r>
        <w:rPr>
          <w:rFonts w:cs="Times New Roman"/>
          <w:color w:val="000000"/>
          <w:sz w:val="24"/>
          <w:szCs w:val="24"/>
          <w:lang w:val="ru-RU"/>
        </w:rPr>
        <w:t>согласно требованиям ФГОС НОО обучающихся с ОВЗ</w:t>
      </w:r>
      <w:r>
        <w:rPr>
          <w:rFonts w:cs="Times New Roman"/>
          <w:color w:val="000000"/>
          <w:sz w:val="24"/>
          <w:szCs w:val="24"/>
        </w:rPr>
        <w:t> </w:t>
      </w:r>
      <w:r>
        <w:rPr>
          <w:rFonts w:cs="Times New Roman"/>
          <w:color w:val="000000"/>
          <w:sz w:val="24"/>
          <w:szCs w:val="24"/>
          <w:lang w:val="ru-RU"/>
        </w:rPr>
        <w:t>является обязательной частью внеурочной деятельности и представлена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осуществляется образовательной организацией самостоятельно</w:t>
      </w:r>
      <w:r>
        <w:rPr>
          <w:rFonts w:cs="Times New Roman"/>
          <w:color w:val="000000"/>
          <w:sz w:val="24"/>
          <w:szCs w:val="24"/>
        </w:rPr>
        <w:t> </w:t>
      </w:r>
      <w:r>
        <w:rPr>
          <w:rFonts w:cs="Times New Roman"/>
          <w:color w:val="000000"/>
          <w:sz w:val="24"/>
          <w:szCs w:val="24"/>
          <w:lang w:val="ru-RU"/>
        </w:rPr>
        <w:t>исходя из психофизических особенностей обучающихся с ЗПР на основании рекомендаций ПМПК и ИПРА. Коррекционно-развивающие курсы проводятся в индивидуальной и групповой форме.</w:t>
      </w:r>
    </w:p>
    <w:p>
      <w:pPr>
        <w:pStyle w:val="Normal"/>
        <w:spacing w:before="280" w:after="280"/>
        <w:jc w:val="both"/>
        <w:rPr>
          <w:rFonts w:cs="Times New Roman"/>
          <w:color w:val="000000"/>
          <w:sz w:val="24"/>
          <w:szCs w:val="24"/>
          <w:lang w:val="ru-RU"/>
        </w:rPr>
      </w:pPr>
      <w:r>
        <w:rPr>
          <w:rFonts w:cs="Times New Roman"/>
          <w:color w:val="000000"/>
          <w:sz w:val="24"/>
          <w:szCs w:val="24"/>
          <w:lang w:val="ru-RU"/>
        </w:rPr>
        <w:t>Часы коррекционно-развивающей области представлены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w:t>
      </w:r>
      <w:r>
        <w:rPr>
          <w:lang w:val="ru-RU"/>
        </w:rPr>
        <w:br/>
        <w:br/>
      </w:r>
      <w:r>
        <w:rPr>
          <w:rFonts w:cs="Times New Roman"/>
          <w:color w:val="000000"/>
          <w:sz w:val="24"/>
          <w:szCs w:val="24"/>
          <w:lang w:val="ru-RU"/>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 3.4.16 Санитарно-эпидемиологических требований).</w:t>
      </w:r>
      <w:r>
        <w:rPr>
          <w:lang w:val="ru-RU"/>
        </w:rPr>
        <w:br/>
        <w:br/>
      </w:r>
      <w:r>
        <w:rPr>
          <w:rFonts w:cs="Times New Roman"/>
          <w:color w:val="000000"/>
          <w:sz w:val="24"/>
          <w:szCs w:val="24"/>
          <w:lang w:val="ru-RU"/>
        </w:rPr>
        <w:t>Продолжительность учебной недели в течение всех лет обучения – пять дней. Пятидневная рабочая неделя устанавливается в целях сохранения и укрепления здоровья обучающихся с ЗПР. Обучение проходит в одну смену. Продолжительность учебного года составляет 34 недели, на первом и втором годах обучения – 33 недели.</w:t>
      </w:r>
    </w:p>
    <w:p>
      <w:pPr>
        <w:pStyle w:val="Normal"/>
        <w:spacing w:before="280" w:after="280"/>
        <w:jc w:val="both"/>
        <w:rPr>
          <w:rFonts w:cs="Times New Roman"/>
          <w:color w:val="000000"/>
          <w:sz w:val="24"/>
          <w:szCs w:val="24"/>
          <w:lang w:val="ru-RU"/>
        </w:rPr>
      </w:pPr>
      <w:r>
        <w:rPr>
          <w:rFonts w:cs="Times New Roman"/>
          <w:color w:val="000000"/>
          <w:sz w:val="24"/>
          <w:szCs w:val="24"/>
          <w:lang w:val="ru-RU"/>
        </w:rP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r>
        <w:rPr>
          <w:lang w:val="ru-RU"/>
        </w:rPr>
        <w:br/>
        <w:br/>
      </w:r>
      <w:r>
        <w:rPr>
          <w:rFonts w:cs="Times New Roman"/>
          <w:color w:val="000000"/>
          <w:sz w:val="24"/>
          <w:szCs w:val="24"/>
          <w:lang w:val="ru-RU"/>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 3.4.16</w:t>
      </w:r>
      <w:r>
        <w:rPr>
          <w:rFonts w:cs="Times New Roman"/>
          <w:color w:val="000000"/>
          <w:sz w:val="24"/>
          <w:szCs w:val="24"/>
        </w:rPr>
        <w:t> </w:t>
      </w:r>
      <w:r>
        <w:rPr>
          <w:rFonts w:cs="Times New Roman"/>
          <w:color w:val="000000"/>
          <w:sz w:val="24"/>
          <w:szCs w:val="24"/>
          <w:lang w:val="ru-RU"/>
        </w:rPr>
        <w:t>Санитарно-эпидемиологических требований).</w:t>
      </w:r>
    </w:p>
    <w:p>
      <w:pPr>
        <w:pStyle w:val="Normal"/>
        <w:spacing w:before="280" w:after="280"/>
        <w:jc w:val="both"/>
        <w:rPr/>
      </w:pPr>
      <w:r>
        <w:rPr>
          <w:rFonts w:cs="Times New Roman"/>
          <w:color w:val="000000"/>
          <w:sz w:val="24"/>
          <w:szCs w:val="24"/>
          <w:lang w:val="ru-RU"/>
        </w:rPr>
        <w:t>Количество учебных занятий за пять учебных лет не может составлять более 3732 часов. Время, отводимое на внеурочную деятельность, на уровне НОО составляет</w:t>
      </w:r>
      <w:r>
        <w:rPr>
          <w:rFonts w:cs="Times New Roman"/>
          <w:color w:val="000000"/>
          <w:sz w:val="24"/>
          <w:szCs w:val="24"/>
        </w:rPr>
        <w:t> </w:t>
      </w:r>
      <w:r>
        <w:rPr>
          <w:rFonts w:cs="Times New Roman"/>
          <w:color w:val="000000"/>
          <w:sz w:val="24"/>
          <w:szCs w:val="24"/>
          <w:lang w:val="ru-RU"/>
        </w:rPr>
        <w:t>1680 часов, из них 1176 часов приходится на коррекционно-развивающее направление.</w:t>
      </w:r>
    </w:p>
    <w:p>
      <w:pPr>
        <w:pStyle w:val="Normal"/>
        <w:spacing w:before="280" w:after="280"/>
        <w:jc w:val="center"/>
        <w:rPr>
          <w:rFonts w:cs="Times New Roman"/>
          <w:color w:val="000000"/>
          <w:sz w:val="24"/>
          <w:szCs w:val="24"/>
          <w:lang w:val="ru-RU"/>
        </w:rPr>
      </w:pPr>
      <w:r>
        <w:rPr>
          <w:rFonts w:cs="Times New Roman"/>
          <w:b/>
          <w:bCs/>
          <w:color w:val="000000"/>
          <w:sz w:val="24"/>
          <w:szCs w:val="24"/>
          <w:lang w:val="ru-RU"/>
        </w:rPr>
        <w:t>Формы промежуточной аттестации</w:t>
      </w:r>
    </w:p>
    <w:p>
      <w:pPr>
        <w:pStyle w:val="Normal"/>
        <w:spacing w:before="280" w:after="280"/>
        <w:jc w:val="both"/>
        <w:rPr/>
      </w:pPr>
      <w:r>
        <w:rPr>
          <w:rFonts w:cs="Times New Roman"/>
          <w:color w:val="000000"/>
          <w:sz w:val="24"/>
          <w:szCs w:val="24"/>
          <w:lang w:val="ru-RU"/>
        </w:rPr>
        <w:t>Формы промежуточной аттестации отражаются в учебном плане в соответствии с методическими системами и образовательными технологиями, используемыми образовательной организацией. Промежуточная аттестация для обучающихся с ЗПР может проводиться как в общепринятых формах, так и в иных формах, учитывающих особенности обучающихся.</w:t>
      </w:r>
    </w:p>
    <w:p>
      <w:pPr>
        <w:pStyle w:val="Normal"/>
        <w:spacing w:before="280" w:after="280"/>
        <w:jc w:val="both"/>
        <w:rPr/>
      </w:pPr>
      <w:r>
        <w:rPr>
          <w:rFonts w:cs="Times New Roman"/>
          <w:color w:val="000000"/>
          <w:sz w:val="24"/>
          <w:szCs w:val="24"/>
          <w:lang w:val="ru-RU"/>
        </w:rPr>
        <w:t>В 1-м классе и 1-м дополнительном классе промежуточная аттестация не</w:t>
      </w:r>
      <w:r>
        <w:rPr>
          <w:rFonts w:cs="Times New Roman"/>
          <w:color w:val="000000"/>
          <w:sz w:val="24"/>
          <w:szCs w:val="24"/>
        </w:rPr>
        <w:t> </w:t>
      </w:r>
      <w:r>
        <w:rPr>
          <w:rFonts w:cs="Times New Roman"/>
          <w:color w:val="000000"/>
          <w:sz w:val="24"/>
          <w:szCs w:val="24"/>
          <w:lang w:val="ru-RU"/>
        </w:rPr>
        <w:t>проводится. Промежуточная аттестация обучающихся проводится начиная с 2-го класса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pPr>
        <w:pStyle w:val="Normal"/>
        <w:spacing w:before="280" w:after="280"/>
        <w:jc w:val="both"/>
        <w:rPr/>
      </w:pPr>
      <w:r>
        <w:rPr>
          <w:rFonts w:cs="Times New Roman"/>
          <w:color w:val="000000"/>
          <w:sz w:val="24"/>
          <w:szCs w:val="24"/>
          <w:lang w:val="ru-RU"/>
        </w:rPr>
        <w:t>Обучающиеся с ЗПР имеют право на прохождение текущей, промежуточной, итоговой аттестации освоения АООП НОО в иных формах. Специальные условия проведения текущей, промежуточной и итоговой (по итогам освоения АООП НОО) аттестации обучающихся с ЗПР включают:</w:t>
      </w:r>
    </w:p>
    <w:p>
      <w:pPr>
        <w:pStyle w:val="Normal"/>
        <w:numPr>
          <w:ilvl w:val="0"/>
          <w:numId w:val="3"/>
        </w:numPr>
        <w:spacing w:before="280" w:after="0"/>
        <w:ind w:hanging="360" w:left="780" w:right="180"/>
        <w:contextualSpacing/>
        <w:jc w:val="both"/>
        <w:rPr/>
      </w:pPr>
      <w:r>
        <w:rPr>
          <w:rFonts w:cs="Times New Roman"/>
          <w:color w:val="000000"/>
          <w:sz w:val="24"/>
          <w:szCs w:val="24"/>
          <w:lang w:val="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pPr>
        <w:pStyle w:val="Normal"/>
        <w:numPr>
          <w:ilvl w:val="0"/>
          <w:numId w:val="3"/>
        </w:numPr>
        <w:spacing w:before="0" w:after="0"/>
        <w:ind w:hanging="360" w:left="780" w:right="180"/>
        <w:contextualSpacing/>
        <w:jc w:val="both"/>
        <w:rPr/>
      </w:pPr>
      <w:r>
        <w:rPr>
          <w:rFonts w:cs="Times New Roman"/>
          <w:color w:val="000000"/>
          <w:sz w:val="24"/>
          <w:szCs w:val="24"/>
          <w:lang w:val="ru-RU"/>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pPr>
        <w:pStyle w:val="Normal"/>
        <w:numPr>
          <w:ilvl w:val="0"/>
          <w:numId w:val="3"/>
        </w:numPr>
        <w:spacing w:before="0" w:after="0"/>
        <w:ind w:hanging="360" w:left="780" w:right="180"/>
        <w:contextualSpacing/>
        <w:jc w:val="both"/>
        <w:rPr/>
      </w:pPr>
      <w:r>
        <w:rPr>
          <w:rFonts w:cs="Times New Roman"/>
          <w:color w:val="000000"/>
          <w:sz w:val="24"/>
          <w:szCs w:val="24"/>
          <w:lang w:val="ru-RU"/>
        </w:rPr>
        <w:t>присутствие в начале работы этапа общей организации деятельности;</w:t>
      </w:r>
    </w:p>
    <w:p>
      <w:pPr>
        <w:pStyle w:val="Normal"/>
        <w:numPr>
          <w:ilvl w:val="0"/>
          <w:numId w:val="3"/>
        </w:numPr>
        <w:spacing w:before="0" w:after="0"/>
        <w:ind w:hanging="360" w:left="780" w:right="180"/>
        <w:contextualSpacing/>
        <w:jc w:val="both"/>
        <w:rPr/>
      </w:pPr>
      <w:r>
        <w:rPr>
          <w:rFonts w:cs="Times New Roman"/>
          <w:color w:val="000000"/>
          <w:sz w:val="24"/>
          <w:szCs w:val="24"/>
          <w:lang w:val="ru-RU"/>
        </w:rPr>
        <w:t>адаптирование инструкции с учетом особых образовательных потребностей и индивидуальных трудностей обучающихся с ЗПР: упрощение формулировок по грамматическому и семантическому оформлению; упрощение</w:t>
      </w:r>
      <w:r>
        <w:rPr>
          <w:rFonts w:cs="Times New Roman"/>
          <w:color w:val="000000"/>
          <w:sz w:val="24"/>
          <w:szCs w:val="24"/>
        </w:rPr>
        <w:t> </w:t>
      </w:r>
      <w:r>
        <w:rPr>
          <w:rFonts w:cs="Times New Roman"/>
          <w:color w:val="000000"/>
          <w:sz w:val="24"/>
          <w:szCs w:val="24"/>
          <w:lang w:val="ru-RU"/>
        </w:rPr>
        <w:t>инструкции;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pPr>
        <w:pStyle w:val="Normal"/>
        <w:numPr>
          <w:ilvl w:val="0"/>
          <w:numId w:val="3"/>
        </w:numPr>
        <w:spacing w:before="0" w:after="0"/>
        <w:ind w:hanging="360" w:left="780" w:right="180"/>
        <w:contextualSpacing/>
        <w:jc w:val="both"/>
        <w:rPr/>
      </w:pPr>
      <w:r>
        <w:rPr>
          <w:rFonts w:cs="Times New Roman"/>
          <w:color w:val="000000"/>
          <w:sz w:val="24"/>
          <w:szCs w:val="24"/>
          <w:lang w:val="ru-RU"/>
        </w:rP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pPr>
        <w:pStyle w:val="Normal"/>
        <w:numPr>
          <w:ilvl w:val="0"/>
          <w:numId w:val="3"/>
        </w:numPr>
        <w:spacing w:before="0" w:after="0"/>
        <w:ind w:hanging="360" w:left="780" w:right="180"/>
        <w:contextualSpacing/>
        <w:jc w:val="both"/>
        <w:rPr/>
      </w:pPr>
      <w:r>
        <w:rPr>
          <w:rFonts w:cs="Times New Roman"/>
          <w:color w:val="000000"/>
          <w:sz w:val="24"/>
          <w:szCs w:val="24"/>
          <w:lang w:val="ru-RU"/>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pPr>
        <w:pStyle w:val="Normal"/>
        <w:numPr>
          <w:ilvl w:val="0"/>
          <w:numId w:val="3"/>
        </w:numPr>
        <w:spacing w:before="0" w:after="0"/>
        <w:ind w:hanging="360" w:left="780" w:right="180"/>
        <w:contextualSpacing/>
        <w:jc w:val="both"/>
        <w:rPr/>
      </w:pPr>
      <w:r>
        <w:rPr>
          <w:rFonts w:cs="Times New Roman"/>
          <w:color w:val="000000"/>
          <w:sz w:val="24"/>
          <w:szCs w:val="24"/>
          <w:lang w:val="ru-RU"/>
        </w:rPr>
        <w:t>увеличение времени на выполнение заданий;</w:t>
      </w:r>
    </w:p>
    <w:p>
      <w:pPr>
        <w:pStyle w:val="Normal"/>
        <w:numPr>
          <w:ilvl w:val="0"/>
          <w:numId w:val="3"/>
        </w:numPr>
        <w:spacing w:before="0" w:after="0"/>
        <w:ind w:hanging="360" w:left="780" w:right="180"/>
        <w:contextualSpacing/>
        <w:jc w:val="both"/>
        <w:rPr/>
      </w:pPr>
      <w:r>
        <w:rPr>
          <w:rFonts w:cs="Times New Roman"/>
          <w:color w:val="000000"/>
          <w:sz w:val="24"/>
          <w:szCs w:val="24"/>
          <w:lang w:val="ru-RU"/>
        </w:rPr>
        <w:t>организация короткого перерыва (10–15 минут) при нарастании в поведении обучающегося проявлений утомления, истощения;</w:t>
      </w:r>
    </w:p>
    <w:p>
      <w:pPr>
        <w:pStyle w:val="Normal"/>
        <w:numPr>
          <w:ilvl w:val="0"/>
          <w:numId w:val="3"/>
        </w:numPr>
        <w:spacing w:before="0" w:after="280"/>
        <w:ind w:hanging="360" w:left="780" w:right="180"/>
        <w:jc w:val="both"/>
        <w:rPr/>
      </w:pPr>
      <w:r>
        <w:rPr>
          <w:rFonts w:cs="Times New Roman"/>
          <w:color w:val="000000"/>
          <w:sz w:val="24"/>
          <w:szCs w:val="24"/>
          <w:lang w:val="ru-RU"/>
        </w:rPr>
        <w:t>недопущение негативных реакций со стороны педагогического работника, создания ситуаций, приводящих к эмоциональному травмированию обучающегося.</w:t>
      </w:r>
    </w:p>
    <w:p>
      <w:pPr>
        <w:pStyle w:val="Normal"/>
        <w:spacing w:before="280" w:after="280"/>
        <w:jc w:val="both"/>
        <w:rPr/>
      </w:pPr>
      <w:r>
        <w:rPr>
          <w:rFonts w:cs="Times New Roman"/>
          <w:color w:val="000000"/>
          <w:sz w:val="24"/>
          <w:szCs w:val="24"/>
          <w:lang w:val="ru-RU"/>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pPr>
        <w:pStyle w:val="Normal"/>
        <w:spacing w:before="280" w:after="280"/>
        <w:jc w:val="both"/>
        <w:rPr>
          <w:rFonts w:cs="Times New Roman"/>
          <w:color w:val="000000"/>
          <w:sz w:val="24"/>
          <w:szCs w:val="24"/>
          <w:lang w:val="ru-RU"/>
        </w:rPr>
      </w:pPr>
      <w:r>
        <w:rPr>
          <w:rFonts w:cs="Times New Roman"/>
          <w:color w:val="000000"/>
          <w:sz w:val="24"/>
          <w:szCs w:val="24"/>
          <w:lang w:val="ru-RU"/>
        </w:rPr>
        <w:t>Итоговая аттестация на уровне начального общего образования</w:t>
      </w:r>
      <w:r>
        <w:rPr>
          <w:rFonts w:cs="Times New Roman"/>
          <w:color w:val="000000"/>
          <w:sz w:val="24"/>
          <w:szCs w:val="24"/>
        </w:rPr>
        <w:t> </w:t>
      </w:r>
      <w:r>
        <w:rPr>
          <w:rFonts w:cs="Times New Roman"/>
          <w:color w:val="000000"/>
          <w:sz w:val="24"/>
          <w:szCs w:val="24"/>
          <w:lang w:val="ru-RU"/>
        </w:rPr>
        <w:t>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pPr>
        <w:pStyle w:val="Normal"/>
        <w:spacing w:before="280" w:after="280"/>
        <w:jc w:val="both"/>
        <w:rPr/>
      </w:pPr>
      <w:r>
        <w:rPr>
          <w:rFonts w:cs="Times New Roman"/>
          <w:color w:val="000000"/>
          <w:sz w:val="24"/>
          <w:szCs w:val="24"/>
          <w:lang w:val="ru-RU"/>
        </w:rPr>
        <w:t>Формы промежуточной аттестации для учебных предметов, учебных и внеурочных курсов, учебных модулей представлены в таблице:</w:t>
      </w:r>
    </w:p>
    <w:tbl>
      <w:tblPr>
        <w:tblW w:w="5000" w:type="pct"/>
        <w:jc w:val="left"/>
        <w:tblInd w:w="0" w:type="dxa"/>
        <w:tblLayout w:type="fixed"/>
        <w:tblCellMar>
          <w:top w:w="15" w:type="dxa"/>
          <w:left w:w="15" w:type="dxa"/>
          <w:bottom w:w="15" w:type="dxa"/>
          <w:right w:w="15" w:type="dxa"/>
        </w:tblCellMar>
        <w:tblLook w:firstRow="0" w:noVBand="1" w:lastRow="0" w:firstColumn="0" w:lastColumn="0" w:noHBand="1" w:val="0600"/>
      </w:tblPr>
      <w:tblGrid>
        <w:gridCol w:w="3152"/>
        <w:gridCol w:w="1322"/>
        <w:gridCol w:w="5498"/>
      </w:tblGrid>
      <w:tr>
        <w:trPr/>
        <w:tc>
          <w:tcPr>
            <w:tcW w:w="31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jc w:val="center"/>
              <w:rPr>
                <w:rFonts w:cs="Times New Roman"/>
                <w:b/>
                <w:bCs/>
                <w:color w:val="000000"/>
                <w:sz w:val="24"/>
                <w:szCs w:val="24"/>
              </w:rPr>
            </w:pPr>
            <w:r>
              <w:rPr>
                <w:rFonts w:cs="Times New Roman"/>
                <w:b/>
                <w:bCs/>
                <w:color w:val="000000"/>
                <w:sz w:val="24"/>
                <w:szCs w:val="24"/>
              </w:rPr>
              <w:t>Предметы, курсы, модули</w:t>
            </w:r>
          </w:p>
        </w:tc>
        <w:tc>
          <w:tcPr>
            <w:tcW w:w="13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jc w:val="center"/>
              <w:rPr>
                <w:rFonts w:cs="Times New Roman"/>
                <w:b/>
                <w:bCs/>
                <w:color w:val="000000"/>
                <w:sz w:val="24"/>
                <w:szCs w:val="24"/>
              </w:rPr>
            </w:pPr>
            <w:r>
              <w:rPr>
                <w:rFonts w:cs="Times New Roman"/>
                <w:b/>
                <w:bCs/>
                <w:color w:val="000000"/>
                <w:sz w:val="24"/>
                <w:szCs w:val="24"/>
              </w:rPr>
              <w:t>Классы</w:t>
            </w:r>
          </w:p>
        </w:tc>
        <w:tc>
          <w:tcPr>
            <w:tcW w:w="5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jc w:val="center"/>
              <w:rPr>
                <w:rFonts w:cs="Times New Roman"/>
                <w:b/>
                <w:bCs/>
                <w:color w:val="000000"/>
                <w:sz w:val="24"/>
                <w:szCs w:val="24"/>
              </w:rPr>
            </w:pPr>
            <w:r>
              <w:rPr>
                <w:rFonts w:cs="Times New Roman"/>
                <w:b/>
                <w:bCs/>
                <w:color w:val="000000"/>
                <w:sz w:val="24"/>
                <w:szCs w:val="24"/>
              </w:rPr>
              <w:t>Формы промежуточной аттестации</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Русский язык</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2–4-й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Литературное чтение</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2–4-й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rPr>
                <w:rFonts w:cs="Times New Roman"/>
                <w:color w:val="000000"/>
                <w:sz w:val="24"/>
                <w:szCs w:val="24"/>
              </w:rPr>
            </w:pPr>
            <w:r>
              <w:rPr>
                <w:rFonts w:cs="Times New Roman"/>
                <w:color w:val="000000"/>
                <w:sz w:val="24"/>
                <w:szCs w:val="24"/>
              </w:rPr>
              <w:t>Иностранный язык (английский)</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2–4-й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rPr>
                <w:rFonts w:cs="Times New Roman"/>
                <w:color w:val="000000"/>
                <w:sz w:val="24"/>
                <w:szCs w:val="24"/>
              </w:rPr>
            </w:pPr>
            <w:r>
              <w:rPr>
                <w:rFonts w:cs="Times New Roman"/>
                <w:color w:val="000000"/>
                <w:sz w:val="24"/>
                <w:szCs w:val="24"/>
              </w:rPr>
              <w:t>Математика</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2–4-й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rPr/>
            </w:pPr>
            <w:r>
              <w:rPr>
                <w:rFonts w:cs="Times New Roman"/>
                <w:color w:val="000000"/>
                <w:sz w:val="24"/>
                <w:szCs w:val="24"/>
              </w:rPr>
              <w:t>Окружающий мир</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2–4-й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rPr>
                <w:rFonts w:cs="Times New Roman"/>
                <w:color w:val="000000"/>
                <w:sz w:val="24"/>
                <w:szCs w:val="24"/>
                <w:lang w:val="ru-RU"/>
              </w:rPr>
            </w:pPr>
            <w:r>
              <w:rPr>
                <w:rFonts w:cs="Times New Roman"/>
                <w:color w:val="000000"/>
                <w:sz w:val="24"/>
                <w:szCs w:val="24"/>
                <w:lang w:val="ru-RU"/>
              </w:rPr>
              <w:t>Основы религиозных культур и светской этики</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наблюдения</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rPr>
                <w:rFonts w:cs="Times New Roman"/>
                <w:color w:val="000000"/>
                <w:sz w:val="24"/>
                <w:szCs w:val="24"/>
              </w:rPr>
            </w:pPr>
            <w:r>
              <w:rPr>
                <w:rFonts w:cs="Times New Roman"/>
                <w:color w:val="000000"/>
                <w:sz w:val="24"/>
                <w:szCs w:val="24"/>
              </w:rPr>
              <w:t>Изобразительное искусство</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2–4-й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накопленных текущих оценок и результатов выполнения тематических творческих работ, зафиксированных в классном журнале</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rPr/>
            </w:pPr>
            <w:r>
              <w:rPr>
                <w:rFonts w:cs="Times New Roman"/>
                <w:color w:val="000000"/>
                <w:sz w:val="24"/>
                <w:szCs w:val="24"/>
              </w:rPr>
              <w:t>Музыка</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2–4-й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накопленных текущих оценок и результатов выполнения тематических творческих работ, зафиксированных в классном журнале</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rPr>
                <w:rFonts w:cs="Times New Roman"/>
                <w:color w:val="000000"/>
                <w:sz w:val="24"/>
                <w:szCs w:val="24"/>
              </w:rPr>
            </w:pPr>
            <w:r>
              <w:rPr>
                <w:rFonts w:cs="Times New Roman"/>
                <w:color w:val="000000"/>
                <w:sz w:val="24"/>
                <w:szCs w:val="24"/>
              </w:rPr>
              <w:t>Технология</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2–4-й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накопленных текущих оценок и результатов выполнения тематических работ, зафиксированных в классном журнале</w:t>
            </w:r>
          </w:p>
        </w:tc>
      </w:tr>
      <w:tr>
        <w:trPr/>
        <w:tc>
          <w:tcPr>
            <w:tcW w:w="31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rPr>
                <w:rFonts w:cs="Times New Roman"/>
                <w:color w:val="000000"/>
                <w:sz w:val="24"/>
                <w:szCs w:val="24"/>
              </w:rPr>
            </w:pPr>
            <w:r>
              <w:rPr>
                <w:rFonts w:cs="Times New Roman"/>
                <w:color w:val="000000"/>
                <w:sz w:val="24"/>
                <w:szCs w:val="24"/>
              </w:rPr>
              <w:t>Адаптивная физическая культура</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pPr>
            <w:r>
              <w:rPr>
                <w:rFonts w:cs="Times New Roman"/>
                <w:color w:val="000000"/>
                <w:sz w:val="24"/>
                <w:szCs w:val="24"/>
              </w:rPr>
              <w:t>2–4-й</w:t>
            </w:r>
          </w:p>
        </w:tc>
        <w:tc>
          <w:tcPr>
            <w:tcW w:w="5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pPr>
              <w:pStyle w:val="Normal"/>
              <w:widowControl w:val="false"/>
              <w:spacing w:before="0" w:after="0"/>
              <w:rPr>
                <w:lang w:val="ru-RU"/>
              </w:rPr>
            </w:pPr>
            <w:r>
              <w:rPr>
                <w:rFonts w:cs="Times New Roman"/>
                <w:color w:val="000000"/>
                <w:sz w:val="24"/>
                <w:szCs w:val="24"/>
                <w:lang w:val="ru-RU"/>
              </w:rPr>
              <w:t>Учет учебных достижений на основе накопленных текущих оценок и результатов индивидуальных достижений,  зафиксированных в классном журнале</w:t>
            </w:r>
          </w:p>
        </w:tc>
      </w:tr>
    </w:tbl>
    <w:p>
      <w:pPr>
        <w:pStyle w:val="Normal"/>
        <w:spacing w:before="280" w:after="280"/>
        <w:jc w:val="center"/>
        <w:rPr>
          <w:rFonts w:cs="Times New Roman"/>
          <w:color w:val="000000"/>
          <w:sz w:val="24"/>
          <w:szCs w:val="24"/>
          <w:lang w:val="ru-RU"/>
        </w:rPr>
      </w:pPr>
      <w:r>
        <w:rPr>
          <w:rFonts w:cs="Times New Roman"/>
          <w:b/>
          <w:bCs/>
          <w:color w:val="000000"/>
          <w:sz w:val="24"/>
          <w:szCs w:val="24"/>
          <w:lang w:val="ru-RU"/>
        </w:rPr>
        <w:t>Недельный учебный план НОО</w:t>
      </w:r>
      <w:r>
        <w:rPr>
          <w:rFonts w:cs="Times New Roman"/>
          <w:b/>
          <w:bCs/>
          <w:color w:val="000000"/>
          <w:sz w:val="24"/>
          <w:szCs w:val="24"/>
        </w:rPr>
        <w:t> </w:t>
      </w:r>
      <w:r>
        <w:rPr>
          <w:rFonts w:cs="Times New Roman"/>
          <w:b/>
          <w:bCs/>
          <w:color w:val="000000"/>
          <w:sz w:val="24"/>
          <w:szCs w:val="24"/>
          <w:lang w:val="ru-RU"/>
        </w:rPr>
        <w:t>обучающихся с ЗПР (вариант 7.2)</w:t>
      </w:r>
    </w:p>
    <w:tbl>
      <w:tblPr>
        <w:tblW w:w="5000" w:type="pct"/>
        <w:jc w:val="left"/>
        <w:tblInd w:w="60" w:type="dxa"/>
        <w:tblLayout w:type="fixed"/>
        <w:tblCellMar>
          <w:top w:w="75" w:type="dxa"/>
          <w:left w:w="75" w:type="dxa"/>
          <w:bottom w:w="75" w:type="dxa"/>
          <w:right w:w="75" w:type="dxa"/>
        </w:tblCellMar>
        <w:tblLook w:firstRow="0" w:noVBand="1" w:lastRow="0" w:firstColumn="0" w:lastColumn="0" w:noHBand="1" w:val="0600"/>
      </w:tblPr>
      <w:tblGrid>
        <w:gridCol w:w="3127"/>
        <w:gridCol w:w="666"/>
        <w:gridCol w:w="666"/>
        <w:gridCol w:w="2297"/>
        <w:gridCol w:w="448"/>
        <w:gridCol w:w="559"/>
        <w:gridCol w:w="551"/>
        <w:gridCol w:w="433"/>
        <w:gridCol w:w="661"/>
        <w:gridCol w:w="563"/>
      </w:tblGrid>
      <w:tr>
        <w:trPr/>
        <w:tc>
          <w:tcPr>
            <w:tcW w:w="3127" w:type="dxa"/>
            <w:tcBorders>
              <w:top w:val="single" w:sz="6" w:space="0" w:color="000000"/>
              <w:left w:val="single" w:sz="6" w:space="0" w:color="000000"/>
              <w:right w:val="single" w:sz="6" w:space="0" w:color="000000"/>
            </w:tcBorders>
            <w:vAlign w:val="center"/>
          </w:tcPr>
          <w:p>
            <w:pPr>
              <w:pStyle w:val="Normal"/>
              <w:widowControl w:val="false"/>
              <w:spacing w:before="0" w:after="0"/>
              <w:rPr>
                <w:rFonts w:cs="Times New Roman"/>
                <w:b/>
                <w:color w:val="000000"/>
                <w:sz w:val="24"/>
                <w:szCs w:val="24"/>
              </w:rPr>
            </w:pPr>
            <w:r>
              <w:rPr>
                <w:rFonts w:cs="Times New Roman"/>
                <w:b/>
                <w:color w:val="000000"/>
                <w:sz w:val="24"/>
                <w:szCs w:val="24"/>
              </w:rPr>
              <w:t>Предметные</w:t>
            </w:r>
          </w:p>
        </w:tc>
        <w:tc>
          <w:tcPr>
            <w:tcW w:w="1332" w:type="dxa"/>
            <w:gridSpan w:val="2"/>
            <w:tcBorders>
              <w:top w:val="single" w:sz="6" w:space="0" w:color="000000"/>
              <w:bottom w:val="single" w:sz="6" w:space="0" w:color="000000"/>
            </w:tcBorders>
            <w:vAlign w:val="center"/>
          </w:tcPr>
          <w:p>
            <w:pPr>
              <w:pStyle w:val="Normal"/>
              <w:widowControl w:val="false"/>
              <w:spacing w:before="0" w:after="0"/>
              <w:ind w:hanging="0" w:left="75" w:right="75"/>
              <w:rPr>
                <w:rFonts w:cs="Times New Roman"/>
                <w:b/>
                <w:color w:val="000000"/>
                <w:sz w:val="24"/>
                <w:szCs w:val="24"/>
              </w:rPr>
            </w:pPr>
            <w:r>
              <w:rPr>
                <w:rFonts w:cs="Times New Roman"/>
                <w:b/>
                <w:color w:val="000000"/>
                <w:sz w:val="24"/>
                <w:szCs w:val="24"/>
              </w:rPr>
            </w:r>
          </w:p>
        </w:tc>
        <w:tc>
          <w:tcPr>
            <w:tcW w:w="2297" w:type="dxa"/>
            <w:tcBorders>
              <w:top w:val="single" w:sz="6" w:space="0" w:color="000000"/>
              <w:bottom w:val="single" w:sz="6" w:space="0" w:color="000000"/>
              <w:right w:val="single" w:sz="6" w:space="0" w:color="000000"/>
            </w:tcBorders>
            <w:vAlign w:val="center"/>
          </w:tcPr>
          <w:p>
            <w:pPr>
              <w:pStyle w:val="Normal"/>
              <w:widowControl w:val="false"/>
              <w:spacing w:before="0" w:after="0"/>
              <w:rPr>
                <w:rFonts w:cs="Times New Roman"/>
                <w:b/>
                <w:color w:val="000000"/>
                <w:sz w:val="24"/>
                <w:szCs w:val="24"/>
              </w:rPr>
            </w:pPr>
            <w:r>
              <w:rPr>
                <w:rFonts w:cs="Times New Roman"/>
                <w:b/>
                <w:color w:val="000000"/>
                <w:sz w:val="24"/>
                <w:szCs w:val="24"/>
              </w:rPr>
              <w:t>Классы</w:t>
            </w:r>
          </w:p>
        </w:tc>
        <w:tc>
          <w:tcPr>
            <w:tcW w:w="2652" w:type="dxa"/>
            <w:gridSpan w:val="5"/>
            <w:tcBorders>
              <w:top w:val="single" w:sz="6" w:space="0" w:color="000000"/>
              <w:bottom w:val="single" w:sz="6" w:space="0" w:color="000000"/>
              <w:right w:val="single" w:sz="6" w:space="0" w:color="000000"/>
            </w:tcBorders>
            <w:vAlign w:val="center"/>
          </w:tcPr>
          <w:p>
            <w:pPr>
              <w:pStyle w:val="Normal"/>
              <w:widowControl w:val="false"/>
              <w:spacing w:before="0" w:after="0"/>
              <w:rPr>
                <w:rFonts w:cs="Times New Roman"/>
                <w:b/>
                <w:color w:val="000000"/>
                <w:sz w:val="24"/>
                <w:szCs w:val="24"/>
              </w:rPr>
            </w:pPr>
            <w:r>
              <w:rPr>
                <w:rFonts w:cs="Times New Roman"/>
                <w:b/>
                <w:color w:val="000000"/>
                <w:sz w:val="24"/>
                <w:szCs w:val="24"/>
              </w:rPr>
              <w:t>Количество часов в неделю</w:t>
            </w:r>
          </w:p>
        </w:tc>
        <w:tc>
          <w:tcPr>
            <w:tcW w:w="563" w:type="dxa"/>
            <w:vMerge w:val="restart"/>
            <w:tcBorders>
              <w:top w:val="single" w:sz="6" w:space="0" w:color="000000"/>
              <w:bottom w:val="single" w:sz="6" w:space="0" w:color="000000"/>
              <w:right w:val="single" w:sz="6" w:space="0" w:color="000000"/>
            </w:tcBorders>
            <w:vAlign w:val="center"/>
          </w:tcPr>
          <w:p>
            <w:pPr>
              <w:pStyle w:val="Normal"/>
              <w:widowControl w:val="false"/>
              <w:spacing w:before="0" w:after="0"/>
              <w:ind w:hanging="0" w:left="75" w:right="75"/>
              <w:rPr>
                <w:rFonts w:cs="Times New Roman"/>
                <w:color w:val="000000"/>
                <w:sz w:val="24"/>
                <w:szCs w:val="24"/>
              </w:rPr>
            </w:pPr>
            <w:r>
              <w:rPr>
                <w:rFonts w:cs="Times New Roman"/>
                <w:color w:val="000000"/>
                <w:sz w:val="24"/>
                <w:szCs w:val="24"/>
              </w:rPr>
            </w:r>
          </w:p>
        </w:tc>
      </w:tr>
      <w:tr>
        <w:trPr/>
        <w:tc>
          <w:tcPr>
            <w:tcW w:w="3127" w:type="dxa"/>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b/>
                <w:color w:val="000000"/>
                <w:sz w:val="24"/>
                <w:szCs w:val="24"/>
              </w:rPr>
            </w:pPr>
            <w:r>
              <w:rPr>
                <w:rFonts w:cs="Times New Roman"/>
                <w:b/>
                <w:color w:val="000000"/>
                <w:sz w:val="24"/>
                <w:szCs w:val="24"/>
              </w:rPr>
              <w:t>области</w:t>
            </w:r>
          </w:p>
        </w:tc>
        <w:tc>
          <w:tcPr>
            <w:tcW w:w="1332" w:type="dxa"/>
            <w:gridSpan w:val="2"/>
            <w:tcBorders>
              <w:top w:val="single" w:sz="6" w:space="0" w:color="000000"/>
              <w:left w:val="single" w:sz="6" w:space="0" w:color="000000"/>
              <w:bottom w:val="single" w:sz="6" w:space="0" w:color="000000"/>
            </w:tcBorders>
            <w:vAlign w:val="center"/>
          </w:tcPr>
          <w:p>
            <w:pPr>
              <w:pStyle w:val="Normal"/>
              <w:widowControl w:val="false"/>
              <w:spacing w:before="0" w:after="0"/>
              <w:jc w:val="center"/>
              <w:rPr>
                <w:rFonts w:cs="Times New Roman"/>
                <w:b/>
                <w:color w:val="000000"/>
                <w:sz w:val="24"/>
                <w:szCs w:val="24"/>
              </w:rPr>
            </w:pPr>
            <w:r>
              <w:rPr>
                <w:rFonts w:cs="Times New Roman"/>
                <w:b/>
                <w:color w:val="000000"/>
                <w:sz w:val="24"/>
                <w:szCs w:val="24"/>
              </w:rPr>
              <w:t>Учебные предметы</w:t>
            </w:r>
          </w:p>
        </w:tc>
        <w:tc>
          <w:tcPr>
            <w:tcW w:w="2297" w:type="dxa"/>
            <w:tcBorders>
              <w:bottom w:val="single" w:sz="6" w:space="0" w:color="000000"/>
              <w:right w:val="single" w:sz="6" w:space="0" w:color="000000"/>
            </w:tcBorders>
            <w:vAlign w:val="center"/>
          </w:tcPr>
          <w:p>
            <w:pPr>
              <w:pStyle w:val="Normal"/>
              <w:widowControl w:val="false"/>
              <w:spacing w:before="0" w:after="0"/>
              <w:ind w:hanging="0" w:left="75" w:right="75"/>
              <w:jc w:val="center"/>
              <w:rPr>
                <w:rFonts w:cs="Times New Roman"/>
                <w:b/>
                <w:color w:val="000000"/>
                <w:sz w:val="24"/>
                <w:szCs w:val="24"/>
              </w:rPr>
            </w:pPr>
            <w:r>
              <w:rPr>
                <w:rFonts w:cs="Times New Roman"/>
                <w:b/>
                <w:color w:val="000000"/>
                <w:sz w:val="24"/>
                <w:szCs w:val="24"/>
              </w:rPr>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b/>
                <w:color w:val="000000"/>
                <w:sz w:val="24"/>
                <w:szCs w:val="24"/>
              </w:rPr>
            </w:pPr>
            <w:r>
              <w:rPr>
                <w:rFonts w:cs="Times New Roman"/>
                <w:b/>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b/>
                <w:color w:val="000000"/>
                <w:sz w:val="24"/>
                <w:szCs w:val="24"/>
              </w:rPr>
            </w:pPr>
            <w:r>
              <w:rPr>
                <w:rFonts w:cs="Times New Roman"/>
                <w:b/>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b/>
                <w:color w:val="000000"/>
                <w:sz w:val="24"/>
                <w:szCs w:val="24"/>
              </w:rPr>
            </w:pPr>
            <w:r>
              <w:rPr>
                <w:rFonts w:cs="Times New Roman"/>
                <w:b/>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b/>
                <w:color w:val="000000"/>
                <w:sz w:val="24"/>
                <w:szCs w:val="24"/>
              </w:rPr>
            </w:pPr>
            <w:r>
              <w:rPr>
                <w:rFonts w:cs="Times New Roman"/>
                <w:b/>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b/>
                <w:color w:val="000000"/>
                <w:sz w:val="24"/>
                <w:szCs w:val="24"/>
              </w:rPr>
            </w:pPr>
            <w:r>
              <w:rPr>
                <w:rFonts w:cs="Times New Roman"/>
                <w:b/>
                <w:color w:val="000000"/>
                <w:sz w:val="24"/>
                <w:szCs w:val="24"/>
              </w:rPr>
              <w:t>4</w:t>
            </w:r>
          </w:p>
        </w:tc>
        <w:tc>
          <w:tcPr>
            <w:tcW w:w="563" w:type="dxa"/>
            <w:vMerge w:val="continue"/>
            <w:tcBorders>
              <w:top w:val="single" w:sz="6" w:space="0" w:color="000000"/>
              <w:bottom w:val="single" w:sz="6" w:space="0" w:color="000000"/>
              <w:right w:val="single" w:sz="6" w:space="0" w:color="000000"/>
            </w:tcBorders>
            <w:vAlign w:val="center"/>
          </w:tcPr>
          <w:p>
            <w:pPr>
              <w:pStyle w:val="Normal"/>
              <w:widowControl w:val="false"/>
              <w:spacing w:before="0" w:after="0"/>
              <w:ind w:hanging="0" w:left="75" w:right="75"/>
              <w:rPr>
                <w:rFonts w:cs="Times New Roman"/>
                <w:color w:val="000000"/>
                <w:sz w:val="24"/>
                <w:szCs w:val="24"/>
              </w:rPr>
            </w:pPr>
            <w:r>
              <w:rPr>
                <w:rFonts w:cs="Times New Roman"/>
                <w:color w:val="000000"/>
                <w:sz w:val="24"/>
                <w:szCs w:val="24"/>
              </w:rPr>
            </w:r>
          </w:p>
        </w:tc>
      </w:tr>
      <w:tr>
        <w:trPr/>
        <w:tc>
          <w:tcPr>
            <w:tcW w:w="3127" w:type="dxa"/>
            <w:vMerge w:val="restart"/>
            <w:tcBorders>
              <w:left w:val="single" w:sz="6" w:space="0" w:color="000000"/>
              <w:bottom w:val="single" w:sz="6" w:space="0" w:color="000000"/>
              <w:right w:val="single" w:sz="6" w:space="0" w:color="000000"/>
            </w:tcBorders>
            <w:vAlign w:val="center"/>
          </w:tcPr>
          <w:p>
            <w:pPr>
              <w:pStyle w:val="Normal"/>
              <w:widowControl w:val="false"/>
              <w:spacing w:before="0" w:after="280"/>
              <w:rPr>
                <w:rFonts w:cs="Times New Roman"/>
                <w:color w:val="000000"/>
                <w:sz w:val="24"/>
                <w:szCs w:val="24"/>
                <w:lang w:val="ru-RU"/>
              </w:rPr>
            </w:pPr>
            <w:r>
              <w:rPr>
                <w:rFonts w:cs="Times New Roman"/>
                <w:color w:val="000000"/>
                <w:sz w:val="24"/>
                <w:szCs w:val="24"/>
                <w:lang w:val="ru-RU"/>
              </w:rPr>
              <w:t>Русский язык и</w:t>
            </w:r>
          </w:p>
          <w:p>
            <w:pPr>
              <w:pStyle w:val="Normal"/>
              <w:widowControl w:val="false"/>
              <w:spacing w:before="280" w:after="0"/>
              <w:rPr>
                <w:rFonts w:cs="Times New Roman"/>
                <w:color w:val="000000"/>
                <w:sz w:val="24"/>
                <w:szCs w:val="24"/>
                <w:lang w:val="ru-RU"/>
              </w:rPr>
            </w:pPr>
            <w:r>
              <w:rPr>
                <w:rFonts w:cs="Times New Roman"/>
                <w:color w:val="000000"/>
                <w:sz w:val="24"/>
                <w:szCs w:val="24"/>
                <w:lang w:val="ru-RU"/>
              </w:rPr>
              <w:t>литературное чтение</w:t>
            </w:r>
          </w:p>
        </w:tc>
        <w:tc>
          <w:tcPr>
            <w:tcW w:w="3629" w:type="dxa"/>
            <w:gridSpan w:val="3"/>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Русский язык</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5</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vMerge w:val="continue"/>
            <w:tcBorders>
              <w:left w:val="single" w:sz="6" w:space="0" w:color="000000"/>
              <w:bottom w:val="single" w:sz="6" w:space="0" w:color="000000"/>
              <w:right w:val="single" w:sz="6" w:space="0" w:color="000000"/>
            </w:tcBorders>
            <w:vAlign w:val="center"/>
          </w:tcPr>
          <w:p>
            <w:pPr>
              <w:pStyle w:val="Normal"/>
              <w:widowControl w:val="false"/>
              <w:spacing w:before="0" w:after="0"/>
              <w:ind w:hanging="0" w:left="75" w:right="75"/>
              <w:rPr>
                <w:rFonts w:cs="Times New Roman"/>
                <w:color w:val="000000"/>
                <w:sz w:val="24"/>
                <w:szCs w:val="24"/>
              </w:rPr>
            </w:pPr>
            <w:r>
              <w:rPr>
                <w:rFonts w:cs="Times New Roman"/>
                <w:color w:val="000000"/>
                <w:sz w:val="24"/>
                <w:szCs w:val="24"/>
              </w:rPr>
            </w:r>
          </w:p>
        </w:tc>
        <w:tc>
          <w:tcPr>
            <w:tcW w:w="3629" w:type="dxa"/>
            <w:gridSpan w:val="3"/>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Литературное чтение</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4</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Иностранный язык</w:t>
            </w:r>
          </w:p>
        </w:tc>
        <w:tc>
          <w:tcPr>
            <w:tcW w:w="3629" w:type="dxa"/>
            <w:gridSpan w:val="3"/>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Иностранный язык (английский)</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Математика и информатика</w:t>
            </w:r>
          </w:p>
        </w:tc>
        <w:tc>
          <w:tcPr>
            <w:tcW w:w="3629" w:type="dxa"/>
            <w:gridSpan w:val="3"/>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Математика</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4</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Обществознание и естествознание</w:t>
            </w:r>
          </w:p>
        </w:tc>
        <w:tc>
          <w:tcPr>
            <w:tcW w:w="3629" w:type="dxa"/>
            <w:gridSpan w:val="3"/>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Окружающий мир</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2</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lang w:val="ru-RU"/>
              </w:rPr>
            </w:pPr>
            <w:r>
              <w:rPr>
                <w:rFonts w:cs="Times New Roman"/>
                <w:color w:val="000000"/>
                <w:sz w:val="24"/>
                <w:szCs w:val="24"/>
                <w:lang w:val="ru-RU"/>
              </w:rPr>
              <w:t>Основы религиозных культур и светской этики</w:t>
            </w:r>
          </w:p>
        </w:tc>
        <w:tc>
          <w:tcPr>
            <w:tcW w:w="3629" w:type="dxa"/>
            <w:gridSpan w:val="3"/>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lang w:val="ru-RU"/>
              </w:rPr>
            </w:pPr>
            <w:r>
              <w:rPr>
                <w:rFonts w:cs="Times New Roman"/>
                <w:color w:val="000000"/>
                <w:sz w:val="24"/>
                <w:szCs w:val="24"/>
                <w:lang w:val="ru-RU"/>
              </w:rPr>
              <w:t>Основы религиозных культур и светской этики</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tcBorders>
              <w:left w:val="single" w:sz="6" w:space="0" w:color="000000"/>
              <w:right w:val="single" w:sz="6" w:space="0" w:color="000000"/>
            </w:tcBorders>
            <w:vAlign w:val="center"/>
          </w:tcPr>
          <w:p>
            <w:pPr>
              <w:pStyle w:val="Normal"/>
              <w:widowControl w:val="false"/>
              <w:spacing w:before="0" w:after="0"/>
              <w:ind w:hanging="0" w:left="75" w:right="75"/>
              <w:rPr>
                <w:rFonts w:cs="Times New Roman"/>
                <w:color w:val="000000"/>
                <w:sz w:val="24"/>
                <w:szCs w:val="24"/>
              </w:rPr>
            </w:pPr>
            <w:r>
              <w:rPr>
                <w:rFonts w:cs="Times New Roman"/>
                <w:color w:val="000000"/>
                <w:sz w:val="24"/>
                <w:szCs w:val="24"/>
              </w:rPr>
            </w:r>
          </w:p>
        </w:tc>
        <w:tc>
          <w:tcPr>
            <w:tcW w:w="3629" w:type="dxa"/>
            <w:gridSpan w:val="3"/>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Музыка</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Искусство</w:t>
            </w:r>
          </w:p>
        </w:tc>
        <w:tc>
          <w:tcPr>
            <w:tcW w:w="3629" w:type="dxa"/>
            <w:gridSpan w:val="3"/>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Изобразительное искусство</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Технология</w:t>
            </w:r>
          </w:p>
        </w:tc>
        <w:tc>
          <w:tcPr>
            <w:tcW w:w="3629" w:type="dxa"/>
            <w:gridSpan w:val="3"/>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Труд (технология)</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Физическая культура</w:t>
            </w:r>
          </w:p>
        </w:tc>
        <w:tc>
          <w:tcPr>
            <w:tcW w:w="3629" w:type="dxa"/>
            <w:gridSpan w:val="3"/>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lang w:val="ru-RU"/>
              </w:rPr>
            </w:pPr>
            <w:r>
              <w:rPr>
                <w:rFonts w:cs="Times New Roman"/>
                <w:color w:val="000000"/>
                <w:sz w:val="24"/>
                <w:szCs w:val="24"/>
                <w:lang w:val="ru-RU"/>
              </w:rPr>
              <w:t>Физическая культура (Адаптивная физическая культура)</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2</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3127" w:type="dxa"/>
            <w:tcBorders>
              <w:left w:val="single" w:sz="6" w:space="0" w:color="000000"/>
              <w:bottom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Итого</w:t>
            </w:r>
          </w:p>
        </w:tc>
        <w:tc>
          <w:tcPr>
            <w:tcW w:w="3629" w:type="dxa"/>
            <w:gridSpan w:val="3"/>
            <w:tcBorders>
              <w:bottom w:val="single" w:sz="6" w:space="0" w:color="000000"/>
              <w:right w:val="single" w:sz="6" w:space="0" w:color="000000"/>
            </w:tcBorders>
            <w:vAlign w:val="center"/>
          </w:tcPr>
          <w:p>
            <w:pPr>
              <w:pStyle w:val="Normal"/>
              <w:widowControl w:val="false"/>
              <w:spacing w:before="0" w:after="0"/>
              <w:ind w:hanging="0" w:left="75" w:right="75"/>
              <w:rPr>
                <w:rFonts w:cs="Times New Roman"/>
                <w:color w:val="000000"/>
                <w:sz w:val="24"/>
                <w:szCs w:val="24"/>
              </w:rPr>
            </w:pPr>
            <w:r>
              <w:rPr>
                <w:rFonts w:cs="Times New Roman"/>
                <w:color w:val="000000"/>
                <w:sz w:val="24"/>
                <w:szCs w:val="24"/>
              </w:rPr>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22</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lang w:val="ru-RU"/>
              </w:rPr>
            </w:pPr>
            <w:r>
              <w:rPr>
                <w:rFonts w:cs="Times New Roman"/>
                <w:b/>
                <w:bCs/>
                <w:color w:val="000000"/>
                <w:sz w:val="24"/>
                <w:szCs w:val="24"/>
                <w:lang w:val="ru-RU"/>
              </w:rPr>
              <w:t>Часть, формируемая участниками образовательного процесса</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b/>
                <w:bCs/>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448" w:type="dxa"/>
            <w:tcBorders>
              <w:bottom w:val="single" w:sz="6" w:space="0" w:color="000000"/>
              <w:right w:val="single" w:sz="6" w:space="0" w:color="000000"/>
            </w:tcBorders>
            <w:vAlign w:val="center"/>
          </w:tcPr>
          <w:p>
            <w:pPr>
              <w:pStyle w:val="Normal"/>
              <w:widowControl w:val="false"/>
              <w:spacing w:before="0" w:after="0"/>
              <w:rPr/>
            </w:pPr>
            <w:r>
              <w:rPr/>
            </w:r>
          </w:p>
        </w:tc>
        <w:tc>
          <w:tcPr>
            <w:tcW w:w="559" w:type="dxa"/>
            <w:tcBorders>
              <w:bottom w:val="single" w:sz="6" w:space="0" w:color="000000"/>
              <w:right w:val="single" w:sz="6" w:space="0" w:color="000000"/>
            </w:tcBorders>
            <w:vAlign w:val="center"/>
          </w:tcPr>
          <w:p>
            <w:pPr>
              <w:pStyle w:val="Normal"/>
              <w:widowControl w:val="false"/>
              <w:spacing w:before="0" w:after="0"/>
              <w:rPr/>
            </w:pPr>
            <w:r>
              <w:rPr/>
            </w:r>
          </w:p>
        </w:tc>
        <w:tc>
          <w:tcPr>
            <w:tcW w:w="551" w:type="dxa"/>
            <w:tcBorders>
              <w:bottom w:val="single" w:sz="6" w:space="0" w:color="000000"/>
              <w:right w:val="single" w:sz="6" w:space="0" w:color="000000"/>
            </w:tcBorders>
            <w:vAlign w:val="center"/>
          </w:tcPr>
          <w:p>
            <w:pPr>
              <w:pStyle w:val="Normal"/>
              <w:widowControl w:val="false"/>
              <w:spacing w:before="0" w:after="0"/>
              <w:rPr/>
            </w:pPr>
            <w:r>
              <w:rPr/>
            </w:r>
          </w:p>
        </w:tc>
        <w:tc>
          <w:tcPr>
            <w:tcW w:w="433" w:type="dxa"/>
            <w:tcBorders>
              <w:bottom w:val="single" w:sz="6" w:space="0" w:color="000000"/>
              <w:right w:val="single" w:sz="6" w:space="0" w:color="000000"/>
            </w:tcBorders>
            <w:vAlign w:val="center"/>
          </w:tcPr>
          <w:p>
            <w:pPr>
              <w:pStyle w:val="Normal"/>
              <w:widowControl w:val="false"/>
              <w:spacing w:before="0" w:after="0"/>
              <w:rPr/>
            </w:pPr>
            <w:r>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pPr>
            <w:r>
              <w:rPr>
                <w:rFonts w:cs="Times New Roman"/>
                <w:color w:val="000000"/>
                <w:sz w:val="24"/>
                <w:szCs w:val="24"/>
              </w:rPr>
              <w:t>-</w:t>
            </w:r>
          </w:p>
        </w:tc>
        <w:tc>
          <w:tcPr>
            <w:tcW w:w="563" w:type="dxa"/>
            <w:tcBorders>
              <w:bottom w:val="single" w:sz="6" w:space="0" w:color="000000"/>
              <w:right w:val="single" w:sz="6" w:space="0" w:color="000000"/>
            </w:tcBorders>
            <w:vAlign w:val="center"/>
          </w:tcPr>
          <w:p>
            <w:pPr>
              <w:pStyle w:val="Normal"/>
              <w:widowControl w:val="false"/>
              <w:spacing w:before="0" w:after="0"/>
              <w:rPr/>
            </w:pPr>
            <w:r>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lang w:val="ru-RU"/>
              </w:rPr>
            </w:pPr>
            <w:r>
              <w:rPr>
                <w:rFonts w:cs="Times New Roman"/>
                <w:color w:val="000000"/>
                <w:sz w:val="24"/>
                <w:szCs w:val="24"/>
                <w:lang w:val="ru-RU"/>
              </w:rPr>
              <w:t>Максимально допустимая недельная нагрузка (при пятидневной учебной неделе)</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b/>
                <w:bCs/>
                <w:color w:val="000000"/>
                <w:sz w:val="24"/>
                <w:szCs w:val="24"/>
              </w:rPr>
              <w:t>23</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rHeight w:val="17" w:hRule="atLeast"/>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lang w:val="ru-RU"/>
              </w:rPr>
            </w:pPr>
            <w:r>
              <w:rPr>
                <w:rFonts w:cs="Times New Roman"/>
                <w:b/>
                <w:bCs/>
                <w:color w:val="000000"/>
                <w:sz w:val="24"/>
                <w:szCs w:val="24"/>
                <w:lang w:val="ru-RU"/>
              </w:rPr>
              <w:t>Внеурочная деятельность</w:t>
            </w:r>
            <w:r>
              <w:rPr>
                <w:rFonts w:cs="Times New Roman"/>
                <w:color w:val="000000"/>
                <w:sz w:val="24"/>
                <w:szCs w:val="24"/>
                <w:lang w:val="ru-RU"/>
              </w:rPr>
              <w:t xml:space="preserve"> (включая коррекционно-развивающую область):</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b/>
                <w:bCs/>
                <w:color w:val="000000"/>
                <w:sz w:val="24"/>
                <w:szCs w:val="24"/>
              </w:rPr>
              <w:t>10</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b/>
                <w:bCs/>
                <w:color w:val="000000"/>
                <w:sz w:val="24"/>
                <w:szCs w:val="24"/>
              </w:rPr>
              <w:t>Коррекционно-развивающая область</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numPr>
                <w:ilvl w:val="0"/>
                <w:numId w:val="4"/>
              </w:numPr>
              <w:spacing w:before="0" w:after="280"/>
              <w:ind w:hanging="360" w:left="780" w:right="180"/>
              <w:rPr>
                <w:rFonts w:cs="Times New Roman"/>
                <w:color w:val="000000"/>
                <w:sz w:val="24"/>
                <w:szCs w:val="24"/>
                <w:lang w:val="ru-RU"/>
              </w:rPr>
            </w:pPr>
            <w:r>
              <w:rPr>
                <w:rFonts w:cs="Times New Roman"/>
                <w:color w:val="000000"/>
                <w:sz w:val="24"/>
                <w:szCs w:val="24"/>
                <w:lang w:val="ru-RU"/>
              </w:rPr>
              <w:t>коррекционно-развивающие занятия: логопедические занятия</w:t>
            </w:r>
          </w:p>
        </w:tc>
        <w:tc>
          <w:tcPr>
            <w:tcW w:w="448" w:type="dxa"/>
            <w:tcBorders>
              <w:bottom w:val="single" w:sz="6" w:space="0" w:color="000000"/>
              <w:right w:val="single" w:sz="6" w:space="0" w:color="000000"/>
            </w:tcBorders>
            <w:vAlign w:val="center"/>
          </w:tcPr>
          <w:p>
            <w:pPr>
              <w:pStyle w:val="Normal"/>
              <w:widowControl w:val="false"/>
              <w:spacing w:before="0" w:after="0"/>
              <w:rPr/>
            </w:pPr>
            <w:r>
              <w:rPr/>
            </w:r>
          </w:p>
        </w:tc>
        <w:tc>
          <w:tcPr>
            <w:tcW w:w="559" w:type="dxa"/>
            <w:tcBorders>
              <w:bottom w:val="single" w:sz="6" w:space="0" w:color="000000"/>
              <w:right w:val="single" w:sz="6" w:space="0" w:color="000000"/>
            </w:tcBorders>
            <w:vAlign w:val="center"/>
          </w:tcPr>
          <w:p>
            <w:pPr>
              <w:pStyle w:val="Normal"/>
              <w:widowControl w:val="false"/>
              <w:spacing w:before="0" w:after="0"/>
              <w:rPr/>
            </w:pPr>
            <w:r>
              <w:rPr/>
            </w:r>
          </w:p>
        </w:tc>
        <w:tc>
          <w:tcPr>
            <w:tcW w:w="551" w:type="dxa"/>
            <w:tcBorders>
              <w:bottom w:val="single" w:sz="6" w:space="0" w:color="000000"/>
              <w:right w:val="single" w:sz="6" w:space="0" w:color="000000"/>
            </w:tcBorders>
            <w:vAlign w:val="center"/>
          </w:tcPr>
          <w:p>
            <w:pPr>
              <w:pStyle w:val="Normal"/>
              <w:widowControl w:val="false"/>
              <w:spacing w:before="0" w:after="0"/>
              <w:rPr/>
            </w:pPr>
            <w:r>
              <w:rPr/>
            </w:r>
          </w:p>
        </w:tc>
        <w:tc>
          <w:tcPr>
            <w:tcW w:w="433" w:type="dxa"/>
            <w:tcBorders>
              <w:bottom w:val="single" w:sz="6" w:space="0" w:color="000000"/>
              <w:right w:val="single" w:sz="6" w:space="0" w:color="000000"/>
            </w:tcBorders>
            <w:vAlign w:val="center"/>
          </w:tcPr>
          <w:p>
            <w:pPr>
              <w:pStyle w:val="Normal"/>
              <w:widowControl w:val="false"/>
              <w:spacing w:before="0" w:after="0"/>
              <w:rPr/>
            </w:pPr>
            <w:r>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pPr>
            <w:r>
              <w:rPr>
                <w:rFonts w:cs="Times New Roman"/>
                <w:color w:val="000000"/>
                <w:sz w:val="24"/>
                <w:szCs w:val="24"/>
              </w:rPr>
              <w:t>-</w:t>
            </w:r>
          </w:p>
        </w:tc>
        <w:tc>
          <w:tcPr>
            <w:tcW w:w="563" w:type="dxa"/>
            <w:tcBorders>
              <w:bottom w:val="single" w:sz="6" w:space="0" w:color="000000"/>
              <w:right w:val="single" w:sz="6" w:space="0" w:color="000000"/>
            </w:tcBorders>
            <w:vAlign w:val="center"/>
          </w:tcPr>
          <w:p>
            <w:pPr>
              <w:pStyle w:val="Normal"/>
              <w:widowControl w:val="false"/>
              <w:spacing w:before="0" w:after="0"/>
              <w:rPr/>
            </w:pPr>
            <w:r>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numPr>
                <w:ilvl w:val="0"/>
                <w:numId w:val="5"/>
              </w:numPr>
              <w:spacing w:before="0" w:after="280"/>
              <w:ind w:hanging="360" w:left="780" w:right="180"/>
              <w:rPr>
                <w:rFonts w:cs="Times New Roman"/>
                <w:color w:val="000000"/>
                <w:sz w:val="24"/>
                <w:szCs w:val="24"/>
                <w:lang w:val="ru-RU"/>
              </w:rPr>
            </w:pPr>
            <w:r>
              <w:rPr>
                <w:rFonts w:cs="Times New Roman"/>
                <w:color w:val="000000"/>
                <w:sz w:val="24"/>
                <w:szCs w:val="24"/>
                <w:lang w:val="ru-RU"/>
              </w:rPr>
              <w:t>коррекционно-развивающие занятия: психокоррекционные занятия</w:t>
            </w:r>
          </w:p>
        </w:tc>
        <w:tc>
          <w:tcPr>
            <w:tcW w:w="448" w:type="dxa"/>
            <w:tcBorders>
              <w:bottom w:val="single" w:sz="6" w:space="0" w:color="000000"/>
              <w:right w:val="single" w:sz="6" w:space="0" w:color="000000"/>
            </w:tcBorders>
            <w:vAlign w:val="center"/>
          </w:tcPr>
          <w:p>
            <w:pPr>
              <w:pStyle w:val="Normal"/>
              <w:widowControl w:val="false"/>
              <w:spacing w:before="0" w:after="0"/>
              <w:rPr/>
            </w:pPr>
            <w:r>
              <w:rPr/>
            </w:r>
          </w:p>
        </w:tc>
        <w:tc>
          <w:tcPr>
            <w:tcW w:w="559" w:type="dxa"/>
            <w:tcBorders>
              <w:bottom w:val="single" w:sz="6" w:space="0" w:color="000000"/>
              <w:right w:val="single" w:sz="6" w:space="0" w:color="000000"/>
            </w:tcBorders>
            <w:vAlign w:val="center"/>
          </w:tcPr>
          <w:p>
            <w:pPr>
              <w:pStyle w:val="Normal"/>
              <w:widowControl w:val="false"/>
              <w:spacing w:before="0" w:after="0"/>
              <w:rPr/>
            </w:pPr>
            <w:r>
              <w:rPr/>
            </w:r>
          </w:p>
        </w:tc>
        <w:tc>
          <w:tcPr>
            <w:tcW w:w="551" w:type="dxa"/>
            <w:tcBorders>
              <w:bottom w:val="single" w:sz="6" w:space="0" w:color="000000"/>
              <w:right w:val="single" w:sz="6" w:space="0" w:color="000000"/>
            </w:tcBorders>
            <w:vAlign w:val="center"/>
          </w:tcPr>
          <w:p>
            <w:pPr>
              <w:pStyle w:val="Normal"/>
              <w:widowControl w:val="false"/>
              <w:spacing w:before="0" w:after="0"/>
              <w:rPr/>
            </w:pPr>
            <w:r>
              <w:rPr/>
            </w:r>
          </w:p>
        </w:tc>
        <w:tc>
          <w:tcPr>
            <w:tcW w:w="433" w:type="dxa"/>
            <w:tcBorders>
              <w:bottom w:val="single" w:sz="6" w:space="0" w:color="000000"/>
              <w:right w:val="single" w:sz="6" w:space="0" w:color="000000"/>
            </w:tcBorders>
            <w:vAlign w:val="center"/>
          </w:tcPr>
          <w:p>
            <w:pPr>
              <w:pStyle w:val="Normal"/>
              <w:widowControl w:val="false"/>
              <w:spacing w:before="0" w:after="0"/>
              <w:rPr/>
            </w:pPr>
            <w:r>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lang w:val="ru-RU"/>
              </w:rPr>
            </w:pPr>
            <w:r>
              <w:rPr>
                <w:lang w:val="ru-RU"/>
              </w:rPr>
              <w:t>1</w:t>
            </w:r>
          </w:p>
        </w:tc>
        <w:tc>
          <w:tcPr>
            <w:tcW w:w="563" w:type="dxa"/>
            <w:tcBorders>
              <w:bottom w:val="single" w:sz="6" w:space="0" w:color="000000"/>
              <w:right w:val="single" w:sz="6" w:space="0" w:color="000000"/>
            </w:tcBorders>
            <w:vAlign w:val="center"/>
          </w:tcPr>
          <w:p>
            <w:pPr>
              <w:pStyle w:val="Normal"/>
              <w:widowControl w:val="false"/>
              <w:spacing w:before="0" w:after="0"/>
              <w:rPr/>
            </w:pPr>
            <w:r>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numPr>
                <w:ilvl w:val="0"/>
                <w:numId w:val="6"/>
              </w:numPr>
              <w:spacing w:before="0" w:after="280"/>
              <w:ind w:hanging="360" w:left="780" w:right="180"/>
              <w:rPr>
                <w:rFonts w:cs="Times New Roman"/>
                <w:color w:val="000000"/>
                <w:sz w:val="24"/>
                <w:szCs w:val="24"/>
              </w:rPr>
            </w:pPr>
            <w:r>
              <w:rPr>
                <w:rFonts w:cs="Times New Roman"/>
                <w:color w:val="000000"/>
                <w:sz w:val="24"/>
                <w:szCs w:val="24"/>
              </w:rPr>
              <w:t>ритмика</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b/>
                <w:color w:val="000000"/>
                <w:sz w:val="24"/>
                <w:szCs w:val="24"/>
                <w:lang w:val="ru-RU"/>
              </w:rPr>
            </w:pPr>
            <w:r>
              <w:rPr>
                <w:rFonts w:cs="Times New Roman"/>
                <w:b/>
                <w:color w:val="000000"/>
                <w:sz w:val="24"/>
                <w:szCs w:val="24"/>
                <w:lang w:val="ru-RU"/>
              </w:rPr>
              <w:t>Внеурочные занятия по направлениям внеурочной деятельности:</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b/>
                <w:i/>
                <w:i/>
                <w:color w:val="000000"/>
                <w:sz w:val="24"/>
                <w:szCs w:val="24"/>
                <w:lang w:val="ru-RU"/>
              </w:rPr>
            </w:pPr>
            <w:r>
              <w:rPr>
                <w:rFonts w:cs="Times New Roman"/>
                <w:b/>
                <w:i/>
                <w:color w:val="000000"/>
                <w:sz w:val="24"/>
                <w:szCs w:val="24"/>
                <w:lang w:val="ru-RU"/>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b/>
                <w:i/>
                <w:i/>
                <w:color w:val="000000"/>
                <w:sz w:val="24"/>
                <w:szCs w:val="24"/>
                <w:lang w:val="ru-RU"/>
              </w:rPr>
            </w:pPr>
            <w:r>
              <w:rPr>
                <w:rFonts w:cs="Times New Roman"/>
                <w:b/>
                <w:i/>
                <w:color w:val="000000"/>
                <w:sz w:val="24"/>
                <w:szCs w:val="24"/>
                <w:lang w:val="ru-RU"/>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b/>
                <w:i/>
                <w:i/>
                <w:color w:val="000000"/>
                <w:sz w:val="24"/>
                <w:szCs w:val="24"/>
                <w:lang w:val="ru-RU"/>
              </w:rPr>
            </w:pPr>
            <w:r>
              <w:rPr>
                <w:rFonts w:cs="Times New Roman"/>
                <w:b/>
                <w:i/>
                <w:color w:val="000000"/>
                <w:sz w:val="24"/>
                <w:szCs w:val="24"/>
                <w:lang w:val="ru-RU"/>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b/>
                <w:i/>
                <w:i/>
                <w:color w:val="000000"/>
                <w:sz w:val="24"/>
                <w:szCs w:val="24"/>
                <w:lang w:val="ru-RU"/>
              </w:rPr>
            </w:pPr>
            <w:r>
              <w:rPr>
                <w:rFonts w:cs="Times New Roman"/>
                <w:b/>
                <w:i/>
                <w:color w:val="000000"/>
                <w:sz w:val="24"/>
                <w:szCs w:val="24"/>
                <w:lang w:val="ru-RU"/>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b/>
                <w:i/>
                <w:i/>
                <w:color w:val="000000"/>
                <w:sz w:val="24"/>
                <w:szCs w:val="24"/>
              </w:rPr>
            </w:pPr>
            <w:r>
              <w:rPr>
                <w:rFonts w:cs="Times New Roman"/>
                <w:b/>
                <w:i/>
                <w:color w:val="000000"/>
                <w:sz w:val="24"/>
                <w:szCs w:val="24"/>
              </w:rPr>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pPr>
            <w:r>
              <w:rPr>
                <w:rFonts w:cs="Times New Roman"/>
                <w:color w:val="000000"/>
                <w:sz w:val="24"/>
                <w:szCs w:val="24"/>
              </w:rPr>
              <w:t>«Разговоры о важном»</w:t>
            </w:r>
          </w:p>
        </w:tc>
        <w:tc>
          <w:tcPr>
            <w:tcW w:w="448" w:type="dxa"/>
            <w:tcBorders>
              <w:bottom w:val="single" w:sz="6" w:space="0" w:color="000000"/>
              <w:right w:val="single" w:sz="6" w:space="0" w:color="000000"/>
            </w:tcBorders>
            <w:vAlign w:val="center"/>
          </w:tcPr>
          <w:p>
            <w:pPr>
              <w:pStyle w:val="Normal"/>
              <w:widowControl w:val="false"/>
              <w:spacing w:before="0" w:after="0"/>
              <w:rPr/>
            </w:pPr>
            <w:r>
              <w:rPr/>
            </w:r>
          </w:p>
        </w:tc>
        <w:tc>
          <w:tcPr>
            <w:tcW w:w="559" w:type="dxa"/>
            <w:tcBorders>
              <w:bottom w:val="single" w:sz="6" w:space="0" w:color="000000"/>
              <w:right w:val="single" w:sz="6" w:space="0" w:color="000000"/>
            </w:tcBorders>
            <w:vAlign w:val="center"/>
          </w:tcPr>
          <w:p>
            <w:pPr>
              <w:pStyle w:val="Normal"/>
              <w:widowControl w:val="false"/>
              <w:spacing w:before="0" w:after="0"/>
              <w:rPr/>
            </w:pPr>
            <w:r>
              <w:rPr/>
            </w:r>
          </w:p>
        </w:tc>
        <w:tc>
          <w:tcPr>
            <w:tcW w:w="551" w:type="dxa"/>
            <w:tcBorders>
              <w:bottom w:val="single" w:sz="6" w:space="0" w:color="000000"/>
              <w:right w:val="single" w:sz="6" w:space="0" w:color="000000"/>
            </w:tcBorders>
            <w:vAlign w:val="center"/>
          </w:tcPr>
          <w:p>
            <w:pPr>
              <w:pStyle w:val="Normal"/>
              <w:widowControl w:val="false"/>
              <w:spacing w:before="0" w:after="0"/>
              <w:rPr/>
            </w:pPr>
            <w:r>
              <w:rPr/>
            </w:r>
          </w:p>
        </w:tc>
        <w:tc>
          <w:tcPr>
            <w:tcW w:w="433" w:type="dxa"/>
            <w:tcBorders>
              <w:bottom w:val="single" w:sz="6" w:space="0" w:color="000000"/>
              <w:right w:val="single" w:sz="6" w:space="0" w:color="000000"/>
            </w:tcBorders>
            <w:vAlign w:val="center"/>
          </w:tcPr>
          <w:p>
            <w:pPr>
              <w:pStyle w:val="Normal"/>
              <w:widowControl w:val="false"/>
              <w:spacing w:before="0" w:after="0"/>
              <w:rPr/>
            </w:pPr>
            <w:r>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pPr>
            <w:r>
              <w:rPr>
                <w:rFonts w:cs="Times New Roman"/>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rPr/>
            </w:pPr>
            <w:r>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pPr>
            <w:r>
              <w:rPr>
                <w:rFonts w:cs="Times New Roman"/>
                <w:color w:val="000000"/>
                <w:sz w:val="24"/>
                <w:szCs w:val="24"/>
              </w:rPr>
              <w:t>Функциональная грамотность</w:t>
            </w:r>
          </w:p>
        </w:tc>
        <w:tc>
          <w:tcPr>
            <w:tcW w:w="448" w:type="dxa"/>
            <w:tcBorders>
              <w:bottom w:val="single" w:sz="6" w:space="0" w:color="000000"/>
              <w:right w:val="single" w:sz="6" w:space="0" w:color="000000"/>
            </w:tcBorders>
            <w:vAlign w:val="center"/>
          </w:tcPr>
          <w:p>
            <w:pPr>
              <w:pStyle w:val="Normal"/>
              <w:widowControl w:val="false"/>
              <w:spacing w:before="0" w:after="0"/>
              <w:rPr/>
            </w:pPr>
            <w:r>
              <w:rPr/>
            </w:r>
          </w:p>
        </w:tc>
        <w:tc>
          <w:tcPr>
            <w:tcW w:w="559" w:type="dxa"/>
            <w:tcBorders>
              <w:bottom w:val="single" w:sz="6" w:space="0" w:color="000000"/>
              <w:right w:val="single" w:sz="6" w:space="0" w:color="000000"/>
            </w:tcBorders>
            <w:vAlign w:val="center"/>
          </w:tcPr>
          <w:p>
            <w:pPr>
              <w:pStyle w:val="Normal"/>
              <w:widowControl w:val="false"/>
              <w:spacing w:before="0" w:after="0"/>
              <w:rPr/>
            </w:pPr>
            <w:r>
              <w:rPr/>
            </w:r>
          </w:p>
        </w:tc>
        <w:tc>
          <w:tcPr>
            <w:tcW w:w="551" w:type="dxa"/>
            <w:tcBorders>
              <w:bottom w:val="single" w:sz="6" w:space="0" w:color="000000"/>
              <w:right w:val="single" w:sz="6" w:space="0" w:color="000000"/>
            </w:tcBorders>
            <w:vAlign w:val="center"/>
          </w:tcPr>
          <w:p>
            <w:pPr>
              <w:pStyle w:val="Normal"/>
              <w:widowControl w:val="false"/>
              <w:spacing w:before="0" w:after="0"/>
              <w:rPr/>
            </w:pPr>
            <w:r>
              <w:rPr/>
            </w:r>
          </w:p>
        </w:tc>
        <w:tc>
          <w:tcPr>
            <w:tcW w:w="433" w:type="dxa"/>
            <w:tcBorders>
              <w:bottom w:val="single" w:sz="6" w:space="0" w:color="000000"/>
              <w:right w:val="single" w:sz="6" w:space="0" w:color="000000"/>
            </w:tcBorders>
            <w:vAlign w:val="center"/>
          </w:tcPr>
          <w:p>
            <w:pPr>
              <w:pStyle w:val="Normal"/>
              <w:widowControl w:val="false"/>
              <w:spacing w:before="0" w:after="0"/>
              <w:rPr/>
            </w:pPr>
            <w:r>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pPr>
            <w:r>
              <w:rPr>
                <w:rFonts w:cs="Times New Roman"/>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rPr/>
            </w:pPr>
            <w:r>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cs="Times New Roman"/>
                <w:color w:val="000000"/>
                <w:sz w:val="24"/>
                <w:szCs w:val="24"/>
                <w:lang w:val="ru-RU"/>
              </w:rPr>
              <w:t>Мой маршрут . Учи.ру</w:t>
            </w:r>
          </w:p>
        </w:tc>
        <w:tc>
          <w:tcPr>
            <w:tcW w:w="448" w:type="dxa"/>
            <w:tcBorders>
              <w:bottom w:val="single" w:sz="6" w:space="0" w:color="000000"/>
              <w:right w:val="single" w:sz="6" w:space="0" w:color="000000"/>
            </w:tcBorders>
            <w:vAlign w:val="center"/>
          </w:tcPr>
          <w:p>
            <w:pPr>
              <w:pStyle w:val="Normal"/>
              <w:widowControl w:val="false"/>
              <w:spacing w:before="0" w:after="0"/>
              <w:rPr/>
            </w:pPr>
            <w:r>
              <w:rPr/>
            </w:r>
          </w:p>
        </w:tc>
        <w:tc>
          <w:tcPr>
            <w:tcW w:w="559" w:type="dxa"/>
            <w:tcBorders>
              <w:bottom w:val="single" w:sz="6" w:space="0" w:color="000000"/>
              <w:right w:val="single" w:sz="6" w:space="0" w:color="000000"/>
            </w:tcBorders>
            <w:vAlign w:val="center"/>
          </w:tcPr>
          <w:p>
            <w:pPr>
              <w:pStyle w:val="Normal"/>
              <w:widowControl w:val="false"/>
              <w:spacing w:before="0" w:after="0"/>
              <w:rPr/>
            </w:pPr>
            <w:r>
              <w:rPr/>
            </w:r>
          </w:p>
        </w:tc>
        <w:tc>
          <w:tcPr>
            <w:tcW w:w="551" w:type="dxa"/>
            <w:tcBorders>
              <w:bottom w:val="single" w:sz="6" w:space="0" w:color="000000"/>
              <w:right w:val="single" w:sz="6" w:space="0" w:color="000000"/>
            </w:tcBorders>
            <w:vAlign w:val="center"/>
          </w:tcPr>
          <w:p>
            <w:pPr>
              <w:pStyle w:val="Normal"/>
              <w:widowControl w:val="false"/>
              <w:spacing w:before="0" w:after="0"/>
              <w:rPr/>
            </w:pPr>
            <w:r>
              <w:rPr/>
            </w:r>
          </w:p>
        </w:tc>
        <w:tc>
          <w:tcPr>
            <w:tcW w:w="433" w:type="dxa"/>
            <w:tcBorders>
              <w:bottom w:val="single" w:sz="6" w:space="0" w:color="000000"/>
              <w:right w:val="single" w:sz="6" w:space="0" w:color="000000"/>
            </w:tcBorders>
            <w:vAlign w:val="center"/>
          </w:tcPr>
          <w:p>
            <w:pPr>
              <w:pStyle w:val="Normal"/>
              <w:widowControl w:val="false"/>
              <w:spacing w:before="0" w:after="0"/>
              <w:rPr/>
            </w:pPr>
            <w:r>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pPr>
            <w:r>
              <w:rPr>
                <w:rFonts w:cs="Times New Roman"/>
                <w:color w:val="000000"/>
                <w:sz w:val="24"/>
                <w:szCs w:val="24"/>
              </w:rPr>
              <w:t>1</w:t>
            </w:r>
          </w:p>
        </w:tc>
        <w:tc>
          <w:tcPr>
            <w:tcW w:w="563" w:type="dxa"/>
            <w:tcBorders>
              <w:bottom w:val="single" w:sz="6" w:space="0" w:color="000000"/>
              <w:right w:val="single" w:sz="6" w:space="0" w:color="000000"/>
            </w:tcBorders>
            <w:vAlign w:val="center"/>
          </w:tcPr>
          <w:p>
            <w:pPr>
              <w:pStyle w:val="Normal"/>
              <w:widowControl w:val="false"/>
              <w:spacing w:before="0" w:after="0"/>
              <w:rPr/>
            </w:pPr>
            <w:r>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lang w:val="ru-RU"/>
              </w:rPr>
            </w:pPr>
            <w:r>
              <w:rPr>
                <w:rFonts w:cs="Times New Roman"/>
                <w:color w:val="000000"/>
                <w:sz w:val="24"/>
                <w:szCs w:val="24"/>
                <w:lang w:val="ru-RU"/>
              </w:rPr>
              <w:t>Край, в котором я живу</w:t>
            </w:r>
          </w:p>
        </w:tc>
        <w:tc>
          <w:tcPr>
            <w:tcW w:w="448"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9"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1"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43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t>1</w:t>
            </w:r>
          </w:p>
        </w:tc>
        <w:tc>
          <w:tcPr>
            <w:tcW w:w="56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rFonts w:cs="Times New Roman"/>
                <w:color w:val="000000"/>
                <w:sz w:val="24"/>
                <w:szCs w:val="24"/>
                <w:lang w:val="ru-RU"/>
              </w:rPr>
            </w:pPr>
            <w:r>
              <w:rPr>
                <w:rFonts w:cs="Times New Roman"/>
                <w:color w:val="000000"/>
                <w:sz w:val="24"/>
                <w:szCs w:val="24"/>
                <w:lang w:val="ru-RU"/>
              </w:rPr>
              <w:t>Эколята</w:t>
            </w:r>
          </w:p>
        </w:tc>
        <w:tc>
          <w:tcPr>
            <w:tcW w:w="448"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9"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1"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43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t>1</w:t>
            </w:r>
          </w:p>
        </w:tc>
        <w:tc>
          <w:tcPr>
            <w:tcW w:w="56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cs="Times New Roman"/>
                <w:color w:val="000000"/>
                <w:sz w:val="24"/>
                <w:szCs w:val="24"/>
                <w:lang w:val="ru-RU"/>
              </w:rPr>
              <w:t>Движение- жизнь (спортивные игры)</w:t>
            </w:r>
          </w:p>
        </w:tc>
        <w:tc>
          <w:tcPr>
            <w:tcW w:w="448"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9"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1"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43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t>1</w:t>
            </w:r>
          </w:p>
        </w:tc>
        <w:tc>
          <w:tcPr>
            <w:tcW w:w="56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cs="Times New Roman"/>
                <w:color w:val="000000"/>
                <w:sz w:val="24"/>
                <w:szCs w:val="24"/>
                <w:lang w:val="ru-RU"/>
              </w:rPr>
              <w:t>Культурный марафон</w:t>
            </w:r>
          </w:p>
        </w:tc>
        <w:tc>
          <w:tcPr>
            <w:tcW w:w="448"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9"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1"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43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t>1</w:t>
            </w:r>
          </w:p>
        </w:tc>
        <w:tc>
          <w:tcPr>
            <w:tcW w:w="56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r>
      <w:tr>
        <w:trPr/>
        <w:tc>
          <w:tcPr>
            <w:tcW w:w="6756" w:type="dxa"/>
            <w:gridSpan w:val="4"/>
            <w:tcBorders>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cs="Times New Roman"/>
                <w:color w:val="000000"/>
                <w:sz w:val="24"/>
                <w:szCs w:val="24"/>
                <w:lang w:val="ru-RU"/>
              </w:rPr>
              <w:t>Индивидуальный час</w:t>
            </w:r>
          </w:p>
        </w:tc>
        <w:tc>
          <w:tcPr>
            <w:tcW w:w="448"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9"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551"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43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t>1</w:t>
            </w:r>
          </w:p>
        </w:tc>
        <w:tc>
          <w:tcPr>
            <w:tcW w:w="563" w:type="dxa"/>
            <w:tcBorders>
              <w:bottom w:val="single" w:sz="6" w:space="0" w:color="000000"/>
              <w:right w:val="single" w:sz="6" w:space="0" w:color="000000"/>
            </w:tcBorders>
            <w:vAlign w:val="center"/>
          </w:tcPr>
          <w:p>
            <w:pPr>
              <w:pStyle w:val="Normal"/>
              <w:widowControl w:val="false"/>
              <w:spacing w:before="0" w:after="0"/>
              <w:rPr>
                <w:lang w:val="ru-RU"/>
              </w:rPr>
            </w:pPr>
            <w:r>
              <w:rPr>
                <w:lang w:val="ru-RU"/>
              </w:rPr>
            </w:r>
          </w:p>
        </w:tc>
      </w:tr>
      <w:tr>
        <w:trPr/>
        <w:tc>
          <w:tcPr>
            <w:tcW w:w="3793" w:type="dxa"/>
            <w:gridSpan w:val="2"/>
            <w:tcBorders>
              <w:left w:val="single" w:sz="6" w:space="0" w:color="000000"/>
              <w:bottom w:val="single" w:sz="6" w:space="0" w:color="000000"/>
            </w:tcBorders>
            <w:vAlign w:val="center"/>
          </w:tcPr>
          <w:p>
            <w:pPr>
              <w:pStyle w:val="Normal"/>
              <w:widowControl w:val="false"/>
              <w:spacing w:before="0" w:after="0"/>
              <w:ind w:hanging="0" w:left="75" w:right="75"/>
              <w:rPr>
                <w:rFonts w:cs="Times New Roman"/>
                <w:color w:val="000000"/>
                <w:sz w:val="24"/>
                <w:szCs w:val="24"/>
                <w:lang w:val="ru-RU"/>
              </w:rPr>
            </w:pPr>
            <w:r>
              <w:rPr>
                <w:rFonts w:cs="Times New Roman"/>
                <w:color w:val="000000"/>
                <w:sz w:val="24"/>
                <w:szCs w:val="24"/>
                <w:lang w:val="ru-RU"/>
              </w:rPr>
            </w:r>
          </w:p>
        </w:tc>
        <w:tc>
          <w:tcPr>
            <w:tcW w:w="2963" w:type="dxa"/>
            <w:gridSpan w:val="2"/>
            <w:tcBorders>
              <w:bottom w:val="single" w:sz="6" w:space="0" w:color="000000"/>
              <w:right w:val="single" w:sz="6" w:space="0" w:color="000000"/>
            </w:tcBorders>
            <w:vAlign w:val="center"/>
          </w:tcPr>
          <w:p>
            <w:pPr>
              <w:pStyle w:val="Normal"/>
              <w:widowControl w:val="false"/>
              <w:spacing w:before="0" w:after="0"/>
              <w:rPr>
                <w:rFonts w:cs="Times New Roman"/>
                <w:color w:val="000000"/>
                <w:sz w:val="24"/>
                <w:szCs w:val="24"/>
              </w:rPr>
            </w:pPr>
            <w:r>
              <w:rPr>
                <w:rFonts w:cs="Times New Roman"/>
                <w:color w:val="000000"/>
                <w:sz w:val="24"/>
                <w:szCs w:val="24"/>
              </w:rPr>
              <w:t>Всего</w:t>
            </w:r>
          </w:p>
        </w:tc>
        <w:tc>
          <w:tcPr>
            <w:tcW w:w="448"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9"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55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43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c>
          <w:tcPr>
            <w:tcW w:w="661"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lang w:val="ru-RU"/>
              </w:rPr>
            </w:pPr>
            <w:r>
              <w:rPr>
                <w:rFonts w:cs="Times New Roman"/>
                <w:color w:val="000000"/>
                <w:sz w:val="24"/>
                <w:szCs w:val="24"/>
                <w:lang w:val="ru-RU"/>
              </w:rPr>
              <w:t>10</w:t>
            </w:r>
          </w:p>
        </w:tc>
        <w:tc>
          <w:tcPr>
            <w:tcW w:w="563" w:type="dxa"/>
            <w:tcBorders>
              <w:bottom w:val="single" w:sz="6" w:space="0" w:color="000000"/>
              <w:right w:val="single" w:sz="6" w:space="0" w:color="000000"/>
            </w:tcBorders>
            <w:vAlign w:val="center"/>
          </w:tcPr>
          <w:p>
            <w:pPr>
              <w:pStyle w:val="Normal"/>
              <w:widowControl w:val="false"/>
              <w:spacing w:before="0" w:after="0"/>
              <w:jc w:val="center"/>
              <w:rPr>
                <w:rFonts w:cs="Times New Roman"/>
                <w:color w:val="000000"/>
                <w:sz w:val="24"/>
                <w:szCs w:val="24"/>
              </w:rPr>
            </w:pPr>
            <w:r>
              <w:rPr>
                <w:rFonts w:cs="Times New Roman"/>
                <w:color w:val="000000"/>
                <w:sz w:val="24"/>
                <w:szCs w:val="24"/>
              </w:rPr>
            </w:r>
          </w:p>
        </w:tc>
      </w:tr>
    </w:tbl>
    <w:p>
      <w:pPr>
        <w:pStyle w:val="Normal"/>
        <w:spacing w:before="280" w:after="280"/>
        <w:rPr/>
      </w:pPr>
      <w:r>
        <w:rPr/>
      </w:r>
    </w:p>
    <w:sectPr>
      <w:type w:val="nextPage"/>
      <w:pgSz w:w="11906" w:h="16838"/>
      <w:pgMar w:left="1440" w:right="494"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f7e17"/>
    <w:pPr>
      <w:widowControl/>
      <w:suppressAutoHyphens w:val="true"/>
      <w:bidi w:val="0"/>
      <w:spacing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uiPriority w:val="9"/>
    <w:qFormat/>
    <w:rsid w:val="00b73a5a"/>
    <w:pPr>
      <w:keepNext w:val="true"/>
      <w:keepLines/>
      <w:outlineLvl w:val="0"/>
    </w:pPr>
    <w:rPr>
      <w:rFonts w:ascii="Cambria" w:hAnsi="Cambria" w:eastAsia="" w:cs="" w:asciiTheme="majorHAnsi" w:cstheme="majorBidi" w:eastAsiaTheme="majorEastAsia" w:hAnsiTheme="majorHAnsi"/>
      <w:b/>
      <w:bCs/>
      <w:color w:themeColor="accent1" w:themeShade="bf" w:val="365F91"/>
      <w:sz w:val="28"/>
      <w:szCs w:val="28"/>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b73a5a"/>
    <w:rPr>
      <w:rFonts w:ascii="Cambria" w:hAnsi="Cambria" w:eastAsia="" w:cs="" w:asciiTheme="majorHAnsi" w:cstheme="majorBidi" w:eastAsiaTheme="majorEastAsia" w:hAnsiTheme="majorHAnsi"/>
      <w:b/>
      <w:bCs/>
      <w:color w:themeColor="accent1" w:themeShade="bf" w:val="365F91"/>
      <w:sz w:val="28"/>
      <w:szCs w:val="28"/>
    </w:rPr>
  </w:style>
  <w:style w:type="paragraph" w:styleId="Style13">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4">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lang w:val="zxx" w:eastAsia="zxx" w:bidi="zxx"/>
    </w:rPr>
  </w:style>
  <w:style w:type="numbering" w:styleId="Style1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Times New Roman"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52</TotalTime>
  <Application>LibreOffice/25.2.7.2$Windows_X86_64 LibreOffice_project/5cbfd1ab6520636bb5f7b99185aa69bd7456825d</Application>
  <AppVersion>15.0000</AppVersion>
  <Pages>7</Pages>
  <Words>1663</Words>
  <Characters>12450</Characters>
  <CharactersWithSpaces>13956</CharactersWithSpaces>
  <Paragraphs>141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
  <dc:description>Подготовлено экспертами Актион-МЦФЭР</dc:description>
  <dc:language>ru-RU</dc:language>
  <cp:lastModifiedBy/>
  <dcterms:modified xsi:type="dcterms:W3CDTF">2026-03-13T11:51:58Z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