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МИНИСТЕРСТВО ПРОСВЕЩЕНИЯ РОССИЙСКОЙ ФЕДЕРАЦИИ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РАСПОРЯЖЕНИЕ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bookmarkStart w:id="0" w:name="_GoBack"/>
      <w:r>
        <w:rPr>
          <w:rFonts w:ascii="Roboto" w:hAnsi="Roboto"/>
          <w:color w:val="343A40"/>
        </w:rPr>
        <w:t>от 25 декабря 2019 г. N Р-145</w:t>
      </w:r>
    </w:p>
    <w:bookmarkEnd w:id="0"/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 УТВЕРЖДЕНИИ МЕТОДОЛОГИИ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(ЦЕЛЕВОЙ МОДЕЛИ) НАСТАВНИЧЕСТВА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ДЛЯ ОРГАНИЗАЦИЙ, ОСУЩЕСТВЛЯЮЩИХ </w:t>
      </w:r>
      <w:proofErr w:type="gramStart"/>
      <w:r>
        <w:rPr>
          <w:rFonts w:ascii="Roboto" w:hAnsi="Roboto"/>
          <w:color w:val="343A40"/>
        </w:rPr>
        <w:t>ОБРАЗОВАТЕЛЬНУЮ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ДЕЯТЕЛЬНОСТЬ ПО </w:t>
      </w:r>
      <w:proofErr w:type="gramStart"/>
      <w:r>
        <w:rPr>
          <w:rFonts w:ascii="Roboto" w:hAnsi="Roboto"/>
          <w:color w:val="343A40"/>
        </w:rPr>
        <w:t>ОБЩЕОБРАЗОВАТЕЛЬНЫМ</w:t>
      </w:r>
      <w:proofErr w:type="gramEnd"/>
      <w:r>
        <w:rPr>
          <w:rFonts w:ascii="Roboto" w:hAnsi="Roboto"/>
          <w:color w:val="343A40"/>
        </w:rPr>
        <w:t>, ДОПОЛНИТЕЛЬНЫМ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ОБЩЕОБРАЗОВАТЕЛЬНЫМ И ПРОГРАММАМ СРЕДНЕГО ПРОФЕССИОНАЛЬНОГО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ОБРАЗОВАНИЯ, В ТОМ ЧИСЛЕ С ПРИМЕНЕНИЕМ ЛУЧШИХ ПРАКТИК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ОБМЕНА ОПЫТОМ МЕЖДУ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В целях достижения сквозного результата "Разработана методология (целевая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обучающимися" федеральных проектов "Современная школа" (Е01.01.04), "Успех каждого ребенка" (Е02.02.06) и "Молодые профессионалы (Повышение конкурентоспособности профессионального образования)" (Е06.06.06) национального проекта "Образование":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1. Утвердить методологию (целевую модель)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>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2. Рекомендовать органам исполнительной власти субъектов Российской Федерации, осуществляющим государственное управление в сфере образования, организовать внедрение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>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 xml:space="preserve">3. </w:t>
      </w:r>
      <w:proofErr w:type="gramStart"/>
      <w:r>
        <w:rPr>
          <w:rFonts w:ascii="Roboto" w:hAnsi="Roboto"/>
          <w:color w:val="343A40"/>
        </w:rPr>
        <w:t>Контроль за</w:t>
      </w:r>
      <w:proofErr w:type="gramEnd"/>
      <w:r>
        <w:rPr>
          <w:rFonts w:ascii="Roboto" w:hAnsi="Roboto"/>
          <w:color w:val="343A40"/>
        </w:rPr>
        <w:t xml:space="preserve"> исполнением настоящего распоряжения оставляю за собой.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Заместитель Министра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М.Н.РАКОВА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Приложение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Утверждена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распоряжением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Министерства просвещения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Российской Федерации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от 25 декабря 2019 г. N Р-145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МЕТОДОЛОГИЯ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(ЦЕЛЕВАЯ МОДЕЛЬ) НАСТАВНИЧЕСТВА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ДЛЯ ОРГАНИЗАЦИЙ, ОСУЩЕСТВЛЯЮЩИХ </w:t>
      </w:r>
      <w:proofErr w:type="gramStart"/>
      <w:r>
        <w:rPr>
          <w:rFonts w:ascii="Roboto" w:hAnsi="Roboto"/>
          <w:color w:val="343A40"/>
        </w:rPr>
        <w:t>ОБРАЗОВАТЕЛЬНУЮ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ДЕЯТЕЛЬНОСТЬ ПО </w:t>
      </w:r>
      <w:proofErr w:type="gramStart"/>
      <w:r>
        <w:rPr>
          <w:rFonts w:ascii="Roboto" w:hAnsi="Roboto"/>
          <w:color w:val="343A40"/>
        </w:rPr>
        <w:t>ОБЩЕОБРАЗОВАТЕЛЬНЫМ</w:t>
      </w:r>
      <w:proofErr w:type="gramEnd"/>
      <w:r>
        <w:rPr>
          <w:rFonts w:ascii="Roboto" w:hAnsi="Roboto"/>
          <w:color w:val="343A40"/>
        </w:rPr>
        <w:t>, ДОПОЛНИТЕЛЬНЫМ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ОБЩЕОБРАЗОВАТЕЛЬНЫМ И ПРОГРАММАМ СРЕДНЕГО ПРОФЕССИОНАЛЬНОГО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ОБРАЗОВАНИЯ, В ТОМ ЧИСЛЕ С ПРИМЕНЕНИЕМ ЛУЧШИХ ПРАКТИК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ОБМЕНА ОПЫТОМ МЕЖДУ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1. Общие положения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1.1. </w:t>
      </w:r>
      <w:proofErr w:type="gramStart"/>
      <w:r>
        <w:rPr>
          <w:rFonts w:ascii="Roboto" w:hAnsi="Roboto"/>
          <w:color w:val="343A40"/>
        </w:rPr>
        <w:t>Настоящая Целевая модель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программам и программам среднего профессионального образования (далее - Целевая модель наставничества), в том числе с применением лучших практик обмена опытом между обучающимися, разработана в целях достижения результатов федеральных проектов "Современная школа", "Молодые профессионалы (Повышение конкурентоспособности профессионального образования)" и "Успех каждого ребенка" национального проекта "Образование" и регулирует отношения</w:t>
      </w:r>
      <w:proofErr w:type="gramEnd"/>
      <w:r>
        <w:rPr>
          <w:rFonts w:ascii="Roboto" w:hAnsi="Roboto"/>
          <w:color w:val="343A40"/>
        </w:rPr>
        <w:t xml:space="preserve">, связанные с функционированием и развитием программ наставничества в субъектах Российской Федерации для организаций, осуществляющих образовательную деятельность </w:t>
      </w:r>
      <w:r>
        <w:rPr>
          <w:rFonts w:ascii="Roboto" w:hAnsi="Roboto"/>
          <w:color w:val="343A40"/>
        </w:rPr>
        <w:lastRenderedPageBreak/>
        <w:t xml:space="preserve">по общеобразовательным, дополнительным общеобразовательным программам и образовательным программам среднего профессионального образования, в том числе с применением лучших практик обмена опытом между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>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1.2. </w:t>
      </w:r>
      <w:proofErr w:type="gramStart"/>
      <w:r>
        <w:rPr>
          <w:rFonts w:ascii="Roboto" w:hAnsi="Roboto"/>
          <w:color w:val="343A40"/>
        </w:rPr>
        <w:t>Целью внедрения целевой модели наставничества является максимально полное раскрытие потенциала личности наставляемого, необходимое для успешной личной и профессиональной самореализации в современных условиях неопределенности, а также создание условий для формирования эффективной системы поддержки, самоопределения и профессиональной ориентации всех обучающихся в возрасте от 10 лет, педагогических работников (далее - педагоги) разных уровней образования и молодых специалистов, проживающих на территории Российской Федерации.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1.3. Задачи внедрения целевой модели наставничества: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улучшение показателей организаций, осуществляющих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 (далее - образовательные организации) в образовательной, социокультурной, спортивной и других сферах;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подготовка обучающегося к самостоятельной, осознанной и социально продуктивной деятельности в современном мире, отличительными особенностями которого являются нестабильность, неопределенность, изменчивость, сложность, информационная насыщенность;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раскрытие личностного, творческого, профессионального потенциала каждого обучающегося, поддержка формирования и реализации индивидуальной образовательной траектории;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создание канала эффективного обмена личностным, жизненным и профессиональным опытом для каждого субъекта образовательной и профессиональной деятельности;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формирование открытого и эффективного сообщества вокруг образовательной организации, способного на комплексную поддержку ее деятельности, в </w:t>
      </w:r>
      <w:proofErr w:type="gramStart"/>
      <w:r>
        <w:rPr>
          <w:rFonts w:ascii="Roboto" w:hAnsi="Roboto"/>
          <w:color w:val="343A40"/>
        </w:rPr>
        <w:t>котором</w:t>
      </w:r>
      <w:proofErr w:type="gramEnd"/>
      <w:r>
        <w:rPr>
          <w:rFonts w:ascii="Roboto" w:hAnsi="Roboto"/>
          <w:color w:val="343A40"/>
        </w:rPr>
        <w:t xml:space="preserve"> выстроены доверительные и партнерские отношения.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1.4. Целевая модель наставничества представляет собой совокупность структурных компонентов и механизмов, обеспечивающих ее внедрение в образовательных организациях и достижение поставленных результатов. С точки зрения наставничества как процесса целевая модель описывает этапы реализации программ наставничества и роли участников, организующих эти этапы.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1.5. Внедрение целевой модели наставничества осуществляется субъектами Российской Федерации на основе методических рекомендаций Ведомственного проектного офиса национального проекта "Образование" (далее - ведомственный проектный офис).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1.6. Ведомственный проектный офис осуществляет методическое сопровождение внедрения настоящей целевой модели, в том числе путем направления методических рекомендаций.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2. Термины и определения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Наставничество - универсальная технология передачи опыта, знаний, формирования навыков, компетенций, </w:t>
      </w:r>
      <w:proofErr w:type="spellStart"/>
      <w:r>
        <w:rPr>
          <w:rFonts w:ascii="Roboto" w:hAnsi="Roboto"/>
          <w:color w:val="343A40"/>
        </w:rPr>
        <w:t>метакомпетенций</w:t>
      </w:r>
      <w:proofErr w:type="spellEnd"/>
      <w:r>
        <w:rPr>
          <w:rFonts w:ascii="Roboto" w:hAnsi="Roboto"/>
          <w:color w:val="343A40"/>
        </w:rPr>
        <w:t xml:space="preserve"> и ценностей через неформальное </w:t>
      </w:r>
      <w:proofErr w:type="spellStart"/>
      <w:r>
        <w:rPr>
          <w:rFonts w:ascii="Roboto" w:hAnsi="Roboto"/>
          <w:color w:val="343A40"/>
        </w:rPr>
        <w:t>взаимообогащающее</w:t>
      </w:r>
      <w:proofErr w:type="spellEnd"/>
      <w:r>
        <w:rPr>
          <w:rFonts w:ascii="Roboto" w:hAnsi="Roboto"/>
          <w:color w:val="343A40"/>
        </w:rPr>
        <w:t xml:space="preserve"> общение, основанное на доверии и партнерстве.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Форма наставничества - способ реализации целевой модели через организацию работы наставнической пары или группы, участники которой находятся в заданной обстоятельствами ролевой ситуации, определяемой основной деятельностью и позицией участников.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Программа наставничества -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Наставляемый - участник программы наставничества, который через взаимодействие с наставником и при его помощи и поддержке решает конкретные жизненные, личные и профессиональные задачи, приобретает новый опыт и развивает новые навыки и компетенции. В конкретных формах </w:t>
      </w:r>
      <w:proofErr w:type="gramStart"/>
      <w:r>
        <w:rPr>
          <w:rFonts w:ascii="Roboto" w:hAnsi="Roboto"/>
          <w:color w:val="343A40"/>
        </w:rPr>
        <w:t>наставляемый</w:t>
      </w:r>
      <w:proofErr w:type="gramEnd"/>
      <w:r>
        <w:rPr>
          <w:rFonts w:ascii="Roboto" w:hAnsi="Roboto"/>
          <w:color w:val="343A40"/>
        </w:rPr>
        <w:t xml:space="preserve"> может быть определен термином "обучающийся".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Наставник -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Куратор - сотрудник организации, осуществляющей деятельность по общеобразовательным, дополнительным общеобразовательным программам и программам среднего профессионального образования, либо организации из числа ее партнеров, который отвечает за организацию программы наставничества.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Целевая модель наставничества - система условий, ресурсов и процессов, необходимых для реализации программ наставничества в образовательных организациях.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Методология наставничества - система концептуальных взглядов, подходов и методов, обоснованных научными исследованиями и практическим опытом, позволяющая понять и организовать процесс взаимодействия наставника и наставляемого.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Активное слушание - практика, позволяющая точнее понимать психологические состояния, чувства, мысли собеседника с помощью особых приемов участия в беседе, таких как активное выражение собственных переживаний и соображений, уточнения, паузы и т.д. Применяется, в частности, в наставничестве, чтобы установить доверительные отношения между наставником и наставляемым.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spellStart"/>
      <w:r>
        <w:rPr>
          <w:rFonts w:ascii="Roboto" w:hAnsi="Roboto"/>
          <w:color w:val="343A40"/>
        </w:rPr>
        <w:t>Буллинг</w:t>
      </w:r>
      <w:proofErr w:type="spellEnd"/>
      <w:r>
        <w:rPr>
          <w:rFonts w:ascii="Roboto" w:hAnsi="Roboto"/>
          <w:color w:val="343A40"/>
        </w:rPr>
        <w:t xml:space="preserve"> - проявление агрессии, в том числе физическое насилие, унижение, издевательства в отношении обучающегося образовательной организации со стороны других обучающихся и/или учителей. Одна из современных разновидностей </w:t>
      </w:r>
      <w:proofErr w:type="spellStart"/>
      <w:r>
        <w:rPr>
          <w:rFonts w:ascii="Roboto" w:hAnsi="Roboto"/>
          <w:color w:val="343A40"/>
        </w:rPr>
        <w:t>буллинга</w:t>
      </w:r>
      <w:proofErr w:type="spellEnd"/>
      <w:r>
        <w:rPr>
          <w:rFonts w:ascii="Roboto" w:hAnsi="Roboto"/>
          <w:color w:val="343A40"/>
        </w:rPr>
        <w:t xml:space="preserve"> - </w:t>
      </w:r>
      <w:proofErr w:type="spellStart"/>
      <w:r>
        <w:rPr>
          <w:rFonts w:ascii="Roboto" w:hAnsi="Roboto"/>
          <w:color w:val="343A40"/>
        </w:rPr>
        <w:t>кибербуллинг</w:t>
      </w:r>
      <w:proofErr w:type="spellEnd"/>
      <w:r>
        <w:rPr>
          <w:rFonts w:ascii="Roboto" w:hAnsi="Roboto"/>
          <w:color w:val="343A40"/>
        </w:rPr>
        <w:t>, травля в социальных сетях.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spellStart"/>
      <w:r>
        <w:rPr>
          <w:rFonts w:ascii="Roboto" w:hAnsi="Roboto"/>
          <w:color w:val="343A40"/>
        </w:rPr>
        <w:t>Метакомпетенции</w:t>
      </w:r>
      <w:proofErr w:type="spellEnd"/>
      <w:r>
        <w:rPr>
          <w:rFonts w:ascii="Roboto" w:hAnsi="Roboto"/>
          <w:color w:val="343A40"/>
        </w:rPr>
        <w:t xml:space="preserve"> - способность формировать у себя новые навыки и компетенции самостоятельно, а не только манипулировать полученными извне знаниями и навыками.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spellStart"/>
      <w:r>
        <w:rPr>
          <w:rFonts w:ascii="Roboto" w:hAnsi="Roboto"/>
          <w:color w:val="343A40"/>
        </w:rPr>
        <w:t>Тьютор</w:t>
      </w:r>
      <w:proofErr w:type="spellEnd"/>
      <w:r>
        <w:rPr>
          <w:rFonts w:ascii="Roboto" w:hAnsi="Roboto"/>
          <w:color w:val="343A40"/>
        </w:rPr>
        <w:t xml:space="preserve"> - специалист в области педагогики, который помогает </w:t>
      </w:r>
      <w:proofErr w:type="gramStart"/>
      <w:r>
        <w:rPr>
          <w:rFonts w:ascii="Roboto" w:hAnsi="Roboto"/>
          <w:color w:val="343A40"/>
        </w:rPr>
        <w:t>обучающемуся</w:t>
      </w:r>
      <w:proofErr w:type="gramEnd"/>
      <w:r>
        <w:rPr>
          <w:rFonts w:ascii="Roboto" w:hAnsi="Roboto"/>
          <w:color w:val="343A40"/>
        </w:rPr>
        <w:t xml:space="preserve"> определиться с индивидуальным образовательным маршрутом.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Благодарный выпускник - выпускник образовательной организации, который ощущает эмоциональную связь с ней, чувствует признательность и поддерживает личными ресурсами (делится опытом, мотивирует обучающихся и педагогов, инициирует и развивает </w:t>
      </w:r>
      <w:proofErr w:type="spellStart"/>
      <w:r>
        <w:rPr>
          <w:rFonts w:ascii="Roboto" w:hAnsi="Roboto"/>
          <w:color w:val="343A40"/>
        </w:rPr>
        <w:t>эндаумент</w:t>
      </w:r>
      <w:proofErr w:type="spellEnd"/>
      <w:r>
        <w:rPr>
          <w:rFonts w:ascii="Roboto" w:hAnsi="Roboto"/>
          <w:color w:val="343A40"/>
        </w:rPr>
        <w:t>, организует стажировки и т.д.).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Школьное сообщество (сообщество образовательной организации) - сотрудники данной образовательной организации, обучающиеся, их родители, выпускники и любые другие субъекты, которые объединены стремлением внести свой вклад в развитие организации и совместно действуют ради этой цели.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spellStart"/>
      <w:r>
        <w:rPr>
          <w:rFonts w:ascii="Roboto" w:hAnsi="Roboto"/>
          <w:color w:val="343A40"/>
        </w:rPr>
        <w:lastRenderedPageBreak/>
        <w:t>Эндаумент</w:t>
      </w:r>
      <w:proofErr w:type="spellEnd"/>
      <w:r>
        <w:rPr>
          <w:rFonts w:ascii="Roboto" w:hAnsi="Roboto"/>
          <w:color w:val="343A40"/>
        </w:rPr>
        <w:t xml:space="preserve"> - фонд целевого капитала в некоммерческих организациях, обычно в сфере образования или культуры, который формируется за счет добровольных пожертвований. В частности, в школьный фонд целевого капитала пожертвования могут приходить от благодарных выпускников школы, желающих поддержать ее развитие. Средства фонда передаются в доверительное управление управляющей компании для получения дохода, который можно использовать на финансирование уставной деятельности, например, на инновационные образовательные программы, научные исследования, стимулирование педагогов и обучающихся.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3. Ожидаемые результаты внедрения целевой модели наставничества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3.1. Планируемые результаты внедрения целевой модели наставничества: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измеримое улучшение показателей обучающихся в образовательной, культурной, спортивной и других сферах;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рост числа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, прошедших </w:t>
      </w:r>
      <w:proofErr w:type="spellStart"/>
      <w:r>
        <w:rPr>
          <w:rFonts w:ascii="Roboto" w:hAnsi="Roboto"/>
          <w:color w:val="343A40"/>
        </w:rPr>
        <w:t>профориентационные</w:t>
      </w:r>
      <w:proofErr w:type="spellEnd"/>
      <w:r>
        <w:rPr>
          <w:rFonts w:ascii="Roboto" w:hAnsi="Roboto"/>
          <w:color w:val="343A40"/>
        </w:rPr>
        <w:t xml:space="preserve"> мероприятия;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улучшение психологического климата в образовательной организации как среди обучающихся, так и внутри педагогического коллектива, связанное с выстраиванием долгосрочных и психологически комфортных коммуникаций на основе партнерства;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практическая реализация концепции построения индивидуальных образовательных траекторий;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измеримое улучшение личных показателей эффективности педагогов и сотрудников региональных предприятий и организаций, связанное с развитием гибких навыков и </w:t>
      </w:r>
      <w:proofErr w:type="spellStart"/>
      <w:r>
        <w:rPr>
          <w:rFonts w:ascii="Roboto" w:hAnsi="Roboto"/>
          <w:color w:val="343A40"/>
        </w:rPr>
        <w:t>метакомпетенций</w:t>
      </w:r>
      <w:proofErr w:type="spellEnd"/>
      <w:r>
        <w:rPr>
          <w:rFonts w:ascii="Roboto" w:hAnsi="Roboto"/>
          <w:color w:val="343A40"/>
        </w:rPr>
        <w:t>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привлечение дополнительных ресурсов и сторонних инвестиций в развитие инновационных образовательных и социальных программ субъекта Российской Федерации и конкретных образовательных организаций благодаря формированию устойчивых связей между образовательными организациями и бизнесом, потенциальному формированию </w:t>
      </w:r>
      <w:proofErr w:type="spellStart"/>
      <w:r>
        <w:rPr>
          <w:rFonts w:ascii="Roboto" w:hAnsi="Roboto"/>
          <w:color w:val="343A40"/>
        </w:rPr>
        <w:t>эндаумента</w:t>
      </w:r>
      <w:proofErr w:type="spellEnd"/>
      <w:r>
        <w:rPr>
          <w:rFonts w:ascii="Roboto" w:hAnsi="Roboto"/>
          <w:color w:val="343A40"/>
        </w:rPr>
        <w:t xml:space="preserve"> и сообщества благодарных выпускников.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3.2. Внедрение целевой модели наставничества может </w:t>
      </w:r>
      <w:proofErr w:type="gramStart"/>
      <w:r>
        <w:rPr>
          <w:rFonts w:ascii="Roboto" w:hAnsi="Roboto"/>
          <w:color w:val="343A40"/>
        </w:rPr>
        <w:t>повлиять</w:t>
      </w:r>
      <w:proofErr w:type="gramEnd"/>
      <w:r>
        <w:rPr>
          <w:rFonts w:ascii="Roboto" w:hAnsi="Roboto"/>
          <w:color w:val="343A40"/>
        </w:rPr>
        <w:t xml:space="preserve"> в том числе на решение следующих проблем обучающегося общеобразовательной организации: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низкую мотивацию к учебе и саморазвитию, неудовлетворительную успеваемость;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отсутствие осознанной позиции, необходимой для выбора образовательной траектории и будущей профессиональной реализации;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невозможность качественной самореализации в рамках школьной программы;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отсутствие условий для формирования активной гражданской позиции;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низкую информированность о перспективах самостоятельного выбора векторов творческого развития, карьерных и иных возможностей;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кризис самоидентификации, разрушение или низкий уровень </w:t>
      </w:r>
      <w:proofErr w:type="spellStart"/>
      <w:r>
        <w:rPr>
          <w:rFonts w:ascii="Roboto" w:hAnsi="Roboto"/>
          <w:color w:val="343A40"/>
        </w:rPr>
        <w:t>сформированности</w:t>
      </w:r>
      <w:proofErr w:type="spellEnd"/>
      <w:r>
        <w:rPr>
          <w:rFonts w:ascii="Roboto" w:hAnsi="Roboto"/>
          <w:color w:val="343A40"/>
        </w:rPr>
        <w:t xml:space="preserve"> ценностных и жизненных позиций и ориентиров;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конфликтность, неразвитые коммуникативные навыки, затрудняющие горизонтальное и вертикальное социальное движение;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отсутствие условий для формирования </w:t>
      </w:r>
      <w:proofErr w:type="spellStart"/>
      <w:r>
        <w:rPr>
          <w:rFonts w:ascii="Roboto" w:hAnsi="Roboto"/>
          <w:color w:val="343A40"/>
        </w:rPr>
        <w:t>метапредметных</w:t>
      </w:r>
      <w:proofErr w:type="spellEnd"/>
      <w:r>
        <w:rPr>
          <w:rFonts w:ascii="Roboto" w:hAnsi="Roboto"/>
          <w:color w:val="343A40"/>
        </w:rPr>
        <w:t xml:space="preserve"> навыков и </w:t>
      </w:r>
      <w:proofErr w:type="spellStart"/>
      <w:r>
        <w:rPr>
          <w:rFonts w:ascii="Roboto" w:hAnsi="Roboto"/>
          <w:color w:val="343A40"/>
        </w:rPr>
        <w:t>метакомпетенций</w:t>
      </w:r>
      <w:proofErr w:type="spellEnd"/>
      <w:r>
        <w:rPr>
          <w:rFonts w:ascii="Roboto" w:hAnsi="Roboto"/>
          <w:color w:val="343A40"/>
        </w:rPr>
        <w:t>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высокий порог вхождения в образовательные программы, программы развития </w:t>
      </w:r>
      <w:proofErr w:type="gramStart"/>
      <w:r>
        <w:rPr>
          <w:rFonts w:ascii="Roboto" w:hAnsi="Roboto"/>
          <w:color w:val="343A40"/>
        </w:rPr>
        <w:t>талантливых</w:t>
      </w:r>
      <w:proofErr w:type="gramEnd"/>
      <w:r>
        <w:rPr>
          <w:rFonts w:ascii="Roboto" w:hAnsi="Roboto"/>
          <w:color w:val="343A40"/>
        </w:rPr>
        <w:t xml:space="preserve"> обучающихся;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падение эмоциональной устойчивости, психологические кризисы, связанные с общей трудностью подросткового периода на фоне отсутствия четких перспектив будущего и регулярной качественной поддержки;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проблемы адаптации в (новом) учебном коллективе: психологические, организационные и социальные.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3.3. Внедрение целевой модели наставничества может </w:t>
      </w:r>
      <w:proofErr w:type="gramStart"/>
      <w:r>
        <w:rPr>
          <w:rFonts w:ascii="Roboto" w:hAnsi="Roboto"/>
          <w:color w:val="343A40"/>
        </w:rPr>
        <w:t>повлиять</w:t>
      </w:r>
      <w:proofErr w:type="gramEnd"/>
      <w:r>
        <w:rPr>
          <w:rFonts w:ascii="Roboto" w:hAnsi="Roboto"/>
          <w:color w:val="343A40"/>
        </w:rPr>
        <w:t xml:space="preserve"> в том числе на решение следующих проблем обучающегося профессиональной образовательной организации (далее - студента):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низкую мотивацию к учебе, неудовлетворительные образовательные результаты, дисциплинарные затруднения;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низкую информированность о карьерных и образовательных возможностях, отсутствие осознанного выбора пути будущего профессионального развития;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трудности, связанные с невозможностью эффективно совмещать получение образования и рабочую деятельность по специальности;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 xml:space="preserve">низкий уровень общей культуры, неразвитость </w:t>
      </w:r>
      <w:proofErr w:type="spellStart"/>
      <w:r>
        <w:rPr>
          <w:rFonts w:ascii="Roboto" w:hAnsi="Roboto"/>
          <w:color w:val="343A40"/>
        </w:rPr>
        <w:t>метакомпетенций</w:t>
      </w:r>
      <w:proofErr w:type="spellEnd"/>
      <w:r>
        <w:rPr>
          <w:rFonts w:ascii="Roboto" w:hAnsi="Roboto"/>
          <w:color w:val="343A40"/>
        </w:rPr>
        <w:t>, отсутствие или неразвитость навыков целеполагания, планирования и самореализации, пессимистичные ожидания от будущего и самого общества;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низкий уровень общепрофессиональных и профессиональных компетенций, как следствие - </w:t>
      </w:r>
      <w:proofErr w:type="spellStart"/>
      <w:r>
        <w:rPr>
          <w:rFonts w:ascii="Roboto" w:hAnsi="Roboto"/>
          <w:color w:val="343A40"/>
        </w:rPr>
        <w:t>невостребованность</w:t>
      </w:r>
      <w:proofErr w:type="spellEnd"/>
      <w:r>
        <w:rPr>
          <w:rFonts w:ascii="Roboto" w:hAnsi="Roboto"/>
          <w:color w:val="343A40"/>
        </w:rPr>
        <w:t xml:space="preserve"> на рынке;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отсутствие мотивации и возможностей для участия в программах поддержки обучающихся и выпускников;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невозможность реализовать свой предпринимательский или профессиональный потенциал в силу отсутствия опыта и ресурсов.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3.4. Внедрение целевой модели наставничества может </w:t>
      </w:r>
      <w:proofErr w:type="gramStart"/>
      <w:r>
        <w:rPr>
          <w:rFonts w:ascii="Roboto" w:hAnsi="Roboto"/>
          <w:color w:val="343A40"/>
        </w:rPr>
        <w:t>повлиять</w:t>
      </w:r>
      <w:proofErr w:type="gramEnd"/>
      <w:r>
        <w:rPr>
          <w:rFonts w:ascii="Roboto" w:hAnsi="Roboto"/>
          <w:color w:val="343A40"/>
        </w:rPr>
        <w:t xml:space="preserve"> в том числе на решение следующих проблем региона: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трудовую неустроенность молодых специалистов и выпускников, влекущую за собой падение уровня жизни, рост неблагополучия и миграцию ценных трудовых кадров в иные регионы;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ценностную дезориентацию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, приводящую как к </w:t>
      </w:r>
      <w:proofErr w:type="spellStart"/>
      <w:r>
        <w:rPr>
          <w:rFonts w:ascii="Roboto" w:hAnsi="Roboto"/>
          <w:color w:val="343A40"/>
        </w:rPr>
        <w:t>девиантному</w:t>
      </w:r>
      <w:proofErr w:type="spellEnd"/>
      <w:r>
        <w:rPr>
          <w:rFonts w:ascii="Roboto" w:hAnsi="Roboto"/>
          <w:color w:val="343A40"/>
        </w:rPr>
        <w:t>, так и к нейтральному в плане гражданской активности поведению;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отсутствие налаженной связи между разными уровнями образования в регионе;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устаревание рабочих резервов, приводящее к инерционному движению региональных предприятий, сокращению числа инициатив и инноваций, падению эффективности работы.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 Структура управления реализацией целевой модели наставничества в деятельности образовательных организаций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4.1. В структуру управления процессом внедрения и реализации целевой модели наставничества в образовательные организации входят: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орган исполнительной власти субъекта Российской Федерации (или местного самоуправления), осуществляющий государственное управление в сфере образования (далее - орган власти);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Региональный наставнический центр - организация (структурное подразделение организации), наделенная органом власти функциями по организационному, методическому и аналитическому сопровождению и мониторингу программ наставничества на территории соответствующего субъекта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общеобразовательные организации, профессиональные образовательные организации, организации дополнительного образования, осуществляющие реализацию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организации и индивидуальные предприниматели, осуществляющие образовательную деятельность по дополнительным общеобразовательным программам;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промышленные и иные предприятия, организации любой формы собственности, индивидуальные предприниматели, функционирующие на территории региона, имеющие или планирующие реализовать партнерские соглашения с организациями, осуществляющими образовательную деятельность.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4.2. </w:t>
      </w:r>
      <w:proofErr w:type="gramStart"/>
      <w:r>
        <w:rPr>
          <w:rFonts w:ascii="Roboto" w:hAnsi="Roboto"/>
          <w:color w:val="343A40"/>
        </w:rPr>
        <w:t xml:space="preserve">Функции Регионального наставнического центра решением органа власти могут быть переданы уже существующей организации (подразделению организации), осуществляющей образовательную деятельность, региональному центру </w:t>
      </w:r>
      <w:proofErr w:type="spellStart"/>
      <w:r>
        <w:rPr>
          <w:rFonts w:ascii="Roboto" w:hAnsi="Roboto"/>
          <w:color w:val="343A40"/>
        </w:rPr>
        <w:t>WorldSkills</w:t>
      </w:r>
      <w:proofErr w:type="spellEnd"/>
      <w:r>
        <w:rPr>
          <w:rFonts w:ascii="Roboto" w:hAnsi="Roboto"/>
          <w:color w:val="343A40"/>
        </w:rPr>
        <w:t>, некоммерческой организации, организациям любой формы собственности, чья деятельность прямо связана с образовательной или воспитательной работой.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4.3. Высшее должностное лицо субъекта Российской Федерации при участии во внедрении целевой модели наставничества на территории соответствующего субъекта Российской Федерации: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принимает решение о внедрении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при необходимости обеспечивает организацию инфраструктуры и материально-техническое обеспечение программ наставничества.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4.4. Орган исполнительной власти субъекта Российской Федерации, осуществляющий государственное управление в сфере образования, при внедрении целевой модели наставничества на территории соответствующего субъекта Российской Федерации: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осуществляет координацию внедрения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обеспечивает реализацию мероприятий по внедрению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координирует работу Регионального наставнического центра;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обеспечивает развитие материально-технической базы, инфраструктуры и кадрового потенциала организаций, осуществляющих деятельность по реализации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реализует меры по обеспечению доступности программ наставничества для обучающихся с особыми образовательными потребностями и индивидуальными возможностями, в том числе для обучающихся с ограниченными возможностями здоровья, обучающихся, проявивших выдающиеся способности, обучающихся, попавших в трудную жизненную ситуацию, а также обучающихся из малоимущих семей, проживающих в сельской местности и на труднодоступных и отдаленных территориях, детей-сирот (оставшихся без попечения родителей).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4.5. Задачи Регионального наставнического центра: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организационная, методическая, экспертно-консультационная, информационная и просветительская поддержка участников внедрения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выработка предложений по совместному использованию инфраструктуры в целях внедрения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содействие распространению и внедрению лучших наставнических практик различных форм и ролевых моделей для обучающихся, педагогов и молодых специалистов соответствующего субъекта Российской Федерации, а также лучших практик других субъектов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разработка предложений по совершенствованию региональной системы внедрения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содействие привлечению к реализации наставнических программ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сбор </w:t>
      </w:r>
      <w:proofErr w:type="gramStart"/>
      <w:r>
        <w:rPr>
          <w:rFonts w:ascii="Roboto" w:hAnsi="Roboto"/>
          <w:color w:val="343A40"/>
        </w:rPr>
        <w:t>результатов мониторинга реализации программ наставничества</w:t>
      </w:r>
      <w:proofErr w:type="gramEnd"/>
      <w:r>
        <w:rPr>
          <w:rFonts w:ascii="Roboto" w:hAnsi="Roboto"/>
          <w:color w:val="343A40"/>
        </w:rPr>
        <w:t xml:space="preserve"> в образовательных организациях;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4.6. Орган исполнительной власти муниципального образования, осуществляющий управление в сфере образования, при участии во внедрении целевой модели наставничества на территории соответствующего муниципального образования: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согласовывает дорожные карты внедрения целевой модели наставничества, разработанные образовательными организациями, осуществляющими внедрение целевой модели;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контролирует реализацию мероприятий по внедрению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обеспечивает развитие инфраструктурных, материально-технических ресурсов и кадрового потенциала муниципальных организаций, осуществляющих образовательную деятельность по общеобразовательным, дополнительным общеобразовательным программам и образовательным программам среднего профессионального образования;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содействует привлечению к реализации программ наставничества образовательных организаций; предприятий и организаций региона; государственных 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4.7. Функции образовательных организаций, осуществляющих внедрение целевой модели наставничества: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разработка и реализация мероприятий дорожной карты внедрения целевой модели;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реализация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реализация кадровой политики, в том числе: привлечение, обучение и </w:t>
      </w:r>
      <w:proofErr w:type="gramStart"/>
      <w:r>
        <w:rPr>
          <w:rFonts w:ascii="Roboto" w:hAnsi="Roboto"/>
          <w:color w:val="343A40"/>
        </w:rPr>
        <w:t>контроль за</w:t>
      </w:r>
      <w:proofErr w:type="gramEnd"/>
      <w:r>
        <w:rPr>
          <w:rFonts w:ascii="Roboto" w:hAnsi="Roboto"/>
          <w:color w:val="343A40"/>
        </w:rPr>
        <w:t xml:space="preserve"> деятельностью наставников, принимающих участие в программе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назначение куратора внедрения целевой модели наставничества в образовательной организации;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инфраструктурное и материально-техническое обеспечение реализации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осуществление персонифицированного учета обучающихся, молодых специалистов и педагогов, участвующих в программах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внесение в формы федерального статистического наблюдения данных о количестве участников программ наставничества и предоставление этих форм в Министерство просвещения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внутреннего мониторинга реализации и эффективности программ наставничества (в ведении образовательных организаций);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обеспечение формирования баз данных программ наставничества и лучших практик;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обеспечение условий для повышения уровня профессионального мастерства педагогических работников, задействованных в реализации целевой модели наставничества, в формате непрерывного образования.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4.8. Куратор назначается решением руководителя образовательной организации, планирующей внедрить целевую модель наставничества. Куратором может стать представитель образовательной организации, представитель организации - партнера программы, представитель региональной некоммерческой организации, организации любой формы собственности, чья деятельность связана с реализацией программ наставничества, волонтерской деятельностью, образованием и воспитанием обучающихся.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 зоне ответственности куратора относятся следующие задачи: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сбор и работа с базой наставников и наставляемых;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организация обучения наставников (в том числе привлечение экспертов для проведения обучения);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контроль процедуры внедрения целевой модели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контроль проведения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участие в оценке вовлеченности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 в различные формы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решение организационных вопросов, возникающих в процессе реализации модели;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мониторинг реализации и получение обратной связи от участников программы и иных причастных к программе лиц.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 xml:space="preserve">При создании </w:t>
      </w:r>
      <w:proofErr w:type="gramStart"/>
      <w:r>
        <w:rPr>
          <w:rFonts w:ascii="Roboto" w:hAnsi="Roboto"/>
          <w:color w:val="343A40"/>
        </w:rPr>
        <w:t>условий необходимого финансирования куратора программ наставничества</w:t>
      </w:r>
      <w:proofErr w:type="gramEnd"/>
      <w:r>
        <w:rPr>
          <w:rFonts w:ascii="Roboto" w:hAnsi="Roboto"/>
          <w:color w:val="343A40"/>
        </w:rPr>
        <w:t xml:space="preserve"> могут быть использованы ресурсы образовательных организаций региона, ресурсы партнеров программы, предприятий - участников программы, региональных некоммерческих организаций, коммерческих организаций, осуществляющих реализацию программ корпоративной социальной ответственности, и индивидуальных предпринимателей - филантропов.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4.9. Оценка вовлеченности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 в различные формы наставничества.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Сбор первичных данных для проведения оценки вовлеченности обучающихся в различные формы сопровождения и наставничества через персонифицированный учет участников программ наставничества в образовательной организации осуществляет куратор.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Для оценки вовлеченности участие в программе наставничества понимается как прохождение участником полного цикла программы наставничества. Соответствующая отметка проставляется куратором в базе </w:t>
      </w:r>
      <w:proofErr w:type="gramStart"/>
      <w:r>
        <w:rPr>
          <w:rFonts w:ascii="Roboto" w:hAnsi="Roboto"/>
          <w:color w:val="343A40"/>
        </w:rPr>
        <w:t>наставляемых</w:t>
      </w:r>
      <w:proofErr w:type="gramEnd"/>
      <w:r>
        <w:rPr>
          <w:rFonts w:ascii="Roboto" w:hAnsi="Roboto"/>
          <w:color w:val="343A40"/>
        </w:rPr>
        <w:t xml:space="preserve"> (примерная форма базы наставляемых представлена в Приложении).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В срок не позднее 20 января года, следующего за </w:t>
      </w:r>
      <w:proofErr w:type="gramStart"/>
      <w:r>
        <w:rPr>
          <w:rFonts w:ascii="Roboto" w:hAnsi="Roboto"/>
          <w:color w:val="343A40"/>
        </w:rPr>
        <w:t>отчетным</w:t>
      </w:r>
      <w:proofErr w:type="gramEnd"/>
      <w:r>
        <w:rPr>
          <w:rFonts w:ascii="Roboto" w:hAnsi="Roboto"/>
          <w:color w:val="343A40"/>
        </w:rPr>
        <w:t>, куратор вносит информацию о количестве участников программ наставничества в соответствующую форму федерального статистического наблюдения и направляет данную форму в Министерство просвещения Российской Федерации.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Министерство просвещения Российской Федерации на основании полученных данных проводит оценку доли обучающихся, вовлеченных в различные формы сопровождения и наставничества (отношение общего количества участников программ наставничества к общему числу обучающихся).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4.10. Комплект примерных нормативных документов, необходимых для внедрения целевой модели наставничества в субъектах Российской Федерации.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Процесс реализации целевой модели наставничества предполагает разработку ряда документов и издание ряда распорядительных актов.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4.10.1. Распорядительный акт органа исполнительной власти субъекта Российской Федерации, осуществляющего государственное управление в сфере образования, включающий: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основания для внедрения целевой модели наставничества в субъекте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сроки внедрения целевой модели наставничества в субъекте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сроки </w:t>
      </w:r>
      <w:proofErr w:type="gramStart"/>
      <w:r>
        <w:rPr>
          <w:rFonts w:ascii="Roboto" w:hAnsi="Roboto"/>
          <w:color w:val="343A40"/>
        </w:rPr>
        <w:t>проведения мониторинга эффективности программ наставничества</w:t>
      </w:r>
      <w:proofErr w:type="gramEnd"/>
      <w:r>
        <w:rPr>
          <w:rFonts w:ascii="Roboto" w:hAnsi="Roboto"/>
          <w:color w:val="343A40"/>
        </w:rPr>
        <w:t xml:space="preserve"> в субъекте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назначение ответственного должностного лица за внедрение целевой модели наставничества в субъекте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перечень образовательных организаций, внедряющих целевую модель наставничества в субъекте Российской Федерации (Приложение);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планируемые результаты внедрения целевой модели наставничества в субъекте Российской Федерации (Приложение).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4.10.2. Распорядительный акт образовательной организации о внедрении целевой модели наставничества на уровне организации, включающий: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основания для внедрения целевой модели наставничества в образовательной организации;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сроки внедрения целевой модели наставничества в образовательной организации;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назначение ответственных за внедрение и реализацию целевой модели наставничества в образовательной организации с описанием обязанностей;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назначение </w:t>
      </w:r>
      <w:proofErr w:type="gramStart"/>
      <w:r>
        <w:rPr>
          <w:rFonts w:ascii="Roboto" w:hAnsi="Roboto"/>
          <w:color w:val="343A40"/>
        </w:rPr>
        <w:t>ответственных</w:t>
      </w:r>
      <w:proofErr w:type="gramEnd"/>
      <w:r>
        <w:rPr>
          <w:rFonts w:ascii="Roboto" w:hAnsi="Roboto"/>
          <w:color w:val="343A40"/>
        </w:rPr>
        <w:t xml:space="preserve"> за материально-техническое обеспечение программы наставничества в организации;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сроки </w:t>
      </w:r>
      <w:proofErr w:type="gramStart"/>
      <w:r>
        <w:rPr>
          <w:rFonts w:ascii="Roboto" w:hAnsi="Roboto"/>
          <w:color w:val="343A40"/>
        </w:rPr>
        <w:t>проведения мониторинга эффективности программ наставничества</w:t>
      </w:r>
      <w:proofErr w:type="gramEnd"/>
      <w:r>
        <w:rPr>
          <w:rFonts w:ascii="Roboto" w:hAnsi="Roboto"/>
          <w:color w:val="343A40"/>
        </w:rPr>
        <w:t>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планируемые результаты внедрения целевой модели наставничества в образовательной организации (Приложение);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утверждение положения о программе наставничества в образовательной организации (Приложение);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утверждение дорожной карты внедрения целевой модели наставничества (Приложение).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4.10.3. Положение о программе наставничества в образовательной организации является организационной основой для внедрения целевой модели наставничества, определяет формы программы наставничества, зоны ответственности, права и обязанности участников, а также функции субъектов программы наставничества.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Типовое положение о программе наставничества может включать в себя: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описание форм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права, обязанности и задачи наставников, наставляемых, кураторов и законных </w:t>
      </w:r>
      <w:proofErr w:type="gramStart"/>
      <w:r>
        <w:rPr>
          <w:rFonts w:ascii="Roboto" w:hAnsi="Roboto"/>
          <w:color w:val="343A40"/>
        </w:rPr>
        <w:t>представителей</w:t>
      </w:r>
      <w:proofErr w:type="gramEnd"/>
      <w:r>
        <w:rPr>
          <w:rFonts w:ascii="Roboto" w:hAnsi="Roboto"/>
          <w:color w:val="343A40"/>
        </w:rPr>
        <w:t xml:space="preserve"> наставляемых в случае, если участник программы несовершеннолетний;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требования, выдвигаемые к наставникам, изъявляющим желание принять участие в программе;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процедуры отбора и обучения наставников;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процесс формирования пар и групп из наставника и наставляемого (наставляемых);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процесс закрепления наставнических пар;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формы и сроки отчетности наставника и куратора о процессе реализации программы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формы и условия поощрения наставника;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критерии эффективности работы наставника;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условия публикации результатов программы наставничества на сайте образовательной организации и организаций-партнеров;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форма соглашения между наставником и наставляемым, а также законными представителями наставляемого в случае, если участник программы несовершеннолетний;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формы согласий на обработку персональных данных от участников наставнической программы или их законных представителей в случае, если участники несовершеннолетние.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4.10.4. Дорожная карта внедрения целевой модели наставничества включает в себя следующую информацию (примерная форма дорожной карты представлена в Приложении):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сроки реализации этапов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мероприятия по информированию педагогического и родительского сообществ о проводимых мероприятиях по реализации программ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мероприятия по привлечению наставников к реализации программ наставничества.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5. Механизмы мотивации и поощрения наставников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5.1. К числу лучших мотивирующих наставника факторов можно отнести поддержку системы наставничества на общественном, муниципальном и государственном </w:t>
      </w:r>
      <w:proofErr w:type="gramStart"/>
      <w:r>
        <w:rPr>
          <w:rFonts w:ascii="Roboto" w:hAnsi="Roboto"/>
          <w:color w:val="343A40"/>
        </w:rPr>
        <w:t>уровнях</w:t>
      </w:r>
      <w:proofErr w:type="gramEnd"/>
      <w:r>
        <w:rPr>
          <w:rFonts w:ascii="Roboto" w:hAnsi="Roboto"/>
          <w:color w:val="343A40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Важно популяризировать роль наставника среди образовательных и общественных организаций; сообществ выпускников школ, профессиональных образовательных организаций, образовательных организаций высшего образования, детских домов; компаний-партнеров; ассоциаций психологов и психотерапевтов; волонтерских и благотворительных организаций; социальных сетей и т.п.; рассказывать о преимуществах роли наставника: возможностях личностного и социального роста, получения новых знаний и навыков.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5.2. В целях популяризации роли наставника можно рекомендовать следующие меры: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организацию и проведение фестивалей, форумов, конференций наставников на муниципальном, региональном и федеральном уровнях;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конкурсов профессионального мастерства "Наставник года", "Лучшая пара "Наставник+" и т.д.;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поддержку системы наставничества через СМИ, создание специальной рубрики в социальных сетях или интернет-издании, например, "Наши наставники": истории о внедрении программы наставничества, о ее результатах, успешные истории взаимодействия наставника и наставляемого; интервью с известными людьми о том, кто был их наставником, почему это важно для них и т.д.);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участие руководителей всех уровней в программах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организацию сообще</w:t>
      </w:r>
      <w:proofErr w:type="gramStart"/>
      <w:r>
        <w:rPr>
          <w:rFonts w:ascii="Roboto" w:hAnsi="Roboto"/>
          <w:color w:val="343A40"/>
        </w:rPr>
        <w:t>ств дл</w:t>
      </w:r>
      <w:proofErr w:type="gramEnd"/>
      <w:r>
        <w:rPr>
          <w:rFonts w:ascii="Roboto" w:hAnsi="Roboto"/>
          <w:color w:val="343A40"/>
        </w:rPr>
        <w:t>я наставников с возможностью быстрого оповещения о новых интересных проектах, мероприятиях, разработках и т.д.;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фотосессий с выпуском открыток, плакатов, календарей, постеров "Наши наставники", которые распространяются среди образовательных организаций, компаний, учреждений социальной сферы и т.д.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Общественное признание позволяет наставникам ощутить собственную востребованность, значимость и полезность не только для отдельно взятых людей, но для общества, региона, в котором они живут. Публичное признание значимости работы наставников для образовательной организации, компании, региона в целом, повышение их авторитета в коллективе будет способствовать расширению пула наставников.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5.3. Возможные нематериальные (моральные) формы поощрений наставников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Поощрение наставников по результатам участия в ежегодном конкурсе (премии) на лучшего наставника муниципалитета (региона). Кандидатуры претендентов предоставляются образовательными организациями в органы управления образованием. Порядок выбора лучшего наставника из числа представленных кандидатур утверждается приказом органа управления образованием субъекта Российской Федерации; наставник, признанный лучшим, может быть награжден (удостоен):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почетной грамотой;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почетного звания "Лучший наставник";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нагрудным знаком наставника;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иные.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Также могут </w:t>
      </w:r>
      <w:proofErr w:type="gramStart"/>
      <w:r>
        <w:rPr>
          <w:rFonts w:ascii="Roboto" w:hAnsi="Roboto"/>
          <w:color w:val="343A40"/>
        </w:rPr>
        <w:t>применятся</w:t>
      </w:r>
      <w:proofErr w:type="gramEnd"/>
      <w:r>
        <w:rPr>
          <w:rFonts w:ascii="Roboto" w:hAnsi="Roboto"/>
          <w:color w:val="343A40"/>
        </w:rPr>
        <w:t xml:space="preserve"> в целях поощрения: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благодарственные письма родителям наставников из числа обучающихся;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размещение фотографий лучших наставников на Доске почета образовательной организации, организации (предприятия), предоставляющих наставника для участия в программе;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предоставление наставникам возможности принимать участие в формировании предложений, касающихся развития организации; рекомендации при трудоустройстве;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образовательное стимулирование (привлечение к участию в образовательных программах, семинарах, тренингах и иных мероприятиях подобного рода);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нематериальное поощрение на рабочем месте: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получение дополнительных дней к отпуску;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расширенная медицинская страховка;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иные льготы и преимущества, предусмотренные в организации, в которой работает наставник.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5.4.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Основными элементами иерархической системы являются: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достижения: визуальное (материальное) выражение результата (медаль, поощрение, определенные очки). Достижения и награды рассматриваются наставником как признаки его заслуг, социального положения, символ причастности и большому проекту;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глобальное значение: мотивацию наставников увеличивает вера в успех программы наставничества, в создание новой и масштабной системы;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рейтинги и иерархия (персональная и групповая). Персональные рейтинги наставников публикуются для того, чтобы каждый участник программы мог видеть свой и чужие текущие уровни развития. Групповые рейтинги команд (наставник и наставляемый или наставник и группа наставляемых) публикуются на стендах образовательной организации, ее информационных порталах, на информационных порталах муниципальных методических центров по наставничеству для дополнительной мотивации всех участников программ.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5.5. В организации также могут быть предусмотрены различные виды материальных поощрений наставников, в том числе надбавка к заработной плате. В данном случае соответствующие изменения вносятся во внутренние документы организации, регламентирующие порядок оплаты труда и материального поощрения работников.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6. Мониторинг и оценка результатов реализации программы наставничества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6.1.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Мониторинг программы наставничества состоит из двух основных этапов: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1) оценка </w:t>
      </w:r>
      <w:proofErr w:type="gramStart"/>
      <w:r>
        <w:rPr>
          <w:rFonts w:ascii="Roboto" w:hAnsi="Roboto"/>
          <w:color w:val="343A40"/>
        </w:rPr>
        <w:t>качества процесса реализации программы наставничества</w:t>
      </w:r>
      <w:proofErr w:type="gramEnd"/>
      <w:r>
        <w:rPr>
          <w:rFonts w:ascii="Roboto" w:hAnsi="Roboto"/>
          <w:color w:val="343A40"/>
        </w:rPr>
        <w:t>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2) оценка мотивационно-личностного, </w:t>
      </w:r>
      <w:proofErr w:type="spellStart"/>
      <w:r>
        <w:rPr>
          <w:rFonts w:ascii="Roboto" w:hAnsi="Roboto"/>
          <w:color w:val="343A40"/>
        </w:rPr>
        <w:t>компетентностного</w:t>
      </w:r>
      <w:proofErr w:type="spellEnd"/>
      <w:r>
        <w:rPr>
          <w:rFonts w:ascii="Roboto" w:hAnsi="Roboto"/>
          <w:color w:val="343A40"/>
        </w:rPr>
        <w:t>, профессионального роста участников, динамика образовательных результатов.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6.2. Этап 1. Мониторинг и оценка </w:t>
      </w:r>
      <w:proofErr w:type="gramStart"/>
      <w:r>
        <w:rPr>
          <w:rFonts w:ascii="Roboto" w:hAnsi="Roboto"/>
          <w:color w:val="343A40"/>
        </w:rPr>
        <w:t>качества процесса реализации программы наставничества</w:t>
      </w:r>
      <w:proofErr w:type="gramEnd"/>
      <w:r>
        <w:rPr>
          <w:rFonts w:ascii="Roboto" w:hAnsi="Roboto"/>
          <w:color w:val="343A40"/>
        </w:rPr>
        <w:t>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Первый этап мониторинга направлен на изучение (оценку) качества реализуемой программы наставничества, ее сильных и слабых сторон, качества совместной работы пар или групп "наставник - наставляемый". Мониторинг </w:t>
      </w:r>
      <w:proofErr w:type="gramStart"/>
      <w:r>
        <w:rPr>
          <w:rFonts w:ascii="Roboto" w:hAnsi="Roboto"/>
          <w:color w:val="343A40"/>
        </w:rPr>
        <w:t>помогает</w:t>
      </w:r>
      <w:proofErr w:type="gramEnd"/>
      <w:r>
        <w:rPr>
          <w:rFonts w:ascii="Roboto" w:hAnsi="Roboto"/>
          <w:color w:val="343A40"/>
        </w:rPr>
        <w:t xml:space="preserve"> как выявить соответствие условий организации программы наставничества требованиям и принципам модели, так и отследить важные показатели качественного изменения образовательной организации, реализующей программу наставничества, динамику показателей социального благополучия внутри образовательной организации, профессиональное развитие педагогического коллектива в практической и научной сферах.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Мониторинг процесса реализации программ наставничества направлен на две ключевые цели: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1) оценка качества реализуемой программы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2) оценка эффективности и полезности программы как инструмента повышения социального и профессионального благополучия внутри образовательной организации и сотрудничающих с ней организаций или индивидов.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 xml:space="preserve">Среди задач, решаемых с помощью мониторинга, можно выделить сбор и анализ обратной связи от участников и кураторов (метод анкетирования), обоснование требований к процессу реализации программы наставничества, к личности наставника; контроль хода </w:t>
      </w:r>
      <w:r>
        <w:rPr>
          <w:rFonts w:ascii="Roboto" w:hAnsi="Roboto"/>
          <w:color w:val="343A40"/>
        </w:rPr>
        <w:lastRenderedPageBreak/>
        <w:t>программы наставничества; описание особенностей взаимодействия наставника и наставляемого (группы наставляемых); определение условий эффективной программы наставничества; контроль показателей социального и профессионального благополучия;</w:t>
      </w:r>
      <w:proofErr w:type="gramEnd"/>
      <w:r>
        <w:rPr>
          <w:rFonts w:ascii="Roboto" w:hAnsi="Roboto"/>
          <w:color w:val="343A40"/>
        </w:rPr>
        <w:t xml:space="preserve"> анализ динамики качественных и количественных изменений отслеживаемых показателей.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 результатам опроса в рамках первого этапа мониторинга будет предоставлен SWOT-анализ (таблица 1) реализуемой программы наставничества.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Таблица 1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Факторы SWOT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Позитивные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Негативные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Внутренние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Сильные стороны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Слабые стороны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Внешние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Возможности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Угрозы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Сбор данных для построения SWOT-анализа осуществляется посредством анкеты (Раздел 2.3 Приложения 2 к методическим рекомендациям ведомственного проектного офиса по внедрению целевой модели наставничества). Анкета содержит открытые вопросы, закрытые вопросы, вопросы с оценочным параметром. Анкета учитывает особенности требований ко всем пяти формам наставничества и является уникальной для каждой формы.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SWOT-анализ рекомендуется проводить куратору программы.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Для оценки </w:t>
      </w:r>
      <w:proofErr w:type="gramStart"/>
      <w:r>
        <w:rPr>
          <w:rFonts w:ascii="Roboto" w:hAnsi="Roboto"/>
          <w:color w:val="343A40"/>
        </w:rPr>
        <w:t>соответствия условий организации программы наставничества</w:t>
      </w:r>
      <w:proofErr w:type="gramEnd"/>
      <w:r>
        <w:rPr>
          <w:rFonts w:ascii="Roboto" w:hAnsi="Roboto"/>
          <w:color w:val="343A40"/>
        </w:rPr>
        <w:t xml:space="preserve"> требованиям модели и программ, по которым она осуществляется, принципам, заложенным в модели и программах, а также современным подходам и технологиям, используется анкета куратора </w:t>
      </w:r>
      <w:r>
        <w:rPr>
          <w:rFonts w:ascii="Roboto" w:hAnsi="Roboto"/>
          <w:color w:val="343A40"/>
        </w:rPr>
        <w:lastRenderedPageBreak/>
        <w:t>(Раздел 2.4 Приложения 2 к методическим рекомендациям ведомственного проектного офиса по внедрению целевой модели наставничества).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Результатом успешного мониторинга будет аналитика реализуемой программы наставничества, которая позволит выделить ее сильные и слабые стороны, изменения качественных и количественных показателей социального и профессионального благополучия, расхождения между ожиданиями и реальными результатами участников программы наставничества.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Среди оцениваемых параметров: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сильные и слабые стороны программы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возможности программы наставничества и угрозы ее реализации;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процент посещения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 xml:space="preserve"> творческих кружков, спортивных секций и внеурочных объединений;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процент реализации образовательных и культурных проектов на базе образовательного учреждения и совместно с представителем организаций (предприятий) наставника;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процент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, прошедших профессиональные и </w:t>
      </w:r>
      <w:proofErr w:type="spellStart"/>
      <w:r>
        <w:rPr>
          <w:rFonts w:ascii="Roboto" w:hAnsi="Roboto"/>
          <w:color w:val="343A40"/>
        </w:rPr>
        <w:t>компетентностные</w:t>
      </w:r>
      <w:proofErr w:type="spellEnd"/>
      <w:r>
        <w:rPr>
          <w:rFonts w:ascii="Roboto" w:hAnsi="Roboto"/>
          <w:color w:val="343A40"/>
        </w:rPr>
        <w:t xml:space="preserve"> тесты;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количество выпускников средней школы или профессиональной образовательной организации, планирующих трудоустройство или уже трудоустроенных на предприятия в субъекте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количество обучающихся, планирующих стать наставниками в будущем и/или присоединиться к сообществу благодарных выпускников;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число обучающихся из числа студентов, поступающих на охваченные программой наставничества профессии и специальности среднего профессионального образования;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количество собственных профессиональных работ: статей, исследований, методических практик молодого специалиста, выступавшего в роли наставляемого.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6.3. Этап 2. Мониторинг и оценка влияния программ на всех участников.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Второй этап мониторинга позволяет оценить: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мотивационно-личностный и профессиональный рост участников программы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развитие </w:t>
      </w:r>
      <w:proofErr w:type="spellStart"/>
      <w:r>
        <w:rPr>
          <w:rFonts w:ascii="Roboto" w:hAnsi="Roboto"/>
          <w:color w:val="343A40"/>
        </w:rPr>
        <w:t>метапредметных</w:t>
      </w:r>
      <w:proofErr w:type="spellEnd"/>
      <w:r>
        <w:rPr>
          <w:rFonts w:ascii="Roboto" w:hAnsi="Roboto"/>
          <w:color w:val="343A40"/>
        </w:rPr>
        <w:t xml:space="preserve"> навыков и уровня </w:t>
      </w:r>
      <w:proofErr w:type="gramStart"/>
      <w:r>
        <w:rPr>
          <w:rFonts w:ascii="Roboto" w:hAnsi="Roboto"/>
          <w:color w:val="343A40"/>
        </w:rPr>
        <w:t>вовлеченности</w:t>
      </w:r>
      <w:proofErr w:type="gramEnd"/>
      <w:r>
        <w:rPr>
          <w:rFonts w:ascii="Roboto" w:hAnsi="Roboto"/>
          <w:color w:val="343A40"/>
        </w:rPr>
        <w:t xml:space="preserve"> обучающихся в образовательную деятельность;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качество изменений в освоении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 xml:space="preserve"> образовательных программ;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Основываясь на результатах данного этапа, можно выдвинуть предположение о наличии положительной динамики влияния программ наставничества на повышение активности и заинтересованности участников в образовательной и профессиональной деятельности, о снижении уровня тревожности в коллективе, а также о наиболее рациональной и эффективной стратегии дальнейшего формирования пар "наставник - наставляемый".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Процесс мониторинга влияния программ на всех участников включает два </w:t>
      </w:r>
      <w:proofErr w:type="spellStart"/>
      <w:r>
        <w:rPr>
          <w:rFonts w:ascii="Roboto" w:hAnsi="Roboto"/>
          <w:color w:val="343A40"/>
        </w:rPr>
        <w:t>подэтапа</w:t>
      </w:r>
      <w:proofErr w:type="spellEnd"/>
      <w:r>
        <w:rPr>
          <w:rFonts w:ascii="Roboto" w:hAnsi="Roboto"/>
          <w:color w:val="343A40"/>
        </w:rPr>
        <w:t>, первый из которых осуществляется до входа в программу наставничества, а второй - по итогам прохождения программы (Разделы 2.1 и 2.2 Приложения 2 к методическим рекомендациям ведомственного проектного офиса по внедрению целевой модели наставничества).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Соответственно, все зависимые от воздействия программы наставничества параметры фиксируются дважды.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Мониторинг влияния программ наставничества на всех участников направлен на три ключевые цели.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1. Глубокая оценка изучаемых личностных характеристик участников программы.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2. Оценка динамики характеристик образовательного процесса (оценка качества изменений в освоении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 xml:space="preserve"> образовательных программ).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3. Анализ и необходимая корректировка сформированных стратегий образования пар "наставник - наставляемый".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Среди задач, решаемых на данном этапе мониторинга, можно выделить: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научное и практическое обоснование требований к процессу организации программы наставничества, к личности наставника;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экспериментальное подтверждение необходимости выдвижения описанных в целевой модели требований к личности наставника;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определение условий эффективной программы наставничества;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анализ эффективности предложенных стратегий образования пар и внесение корректировок во все этапы реализации программы в соответствии с результатами;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сравнение характеристик образовательного процесса на "входе" и "выходе" реализуемой программы;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сравнение изучаемых личностных характеристик (вовлеченность, активность, самооценка, тревожность и др.) участников программы наставничества на "входе" и "выходе" реализуемой программы.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Результатом данного этапа мониторинга являются оценка и динамика: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развития гибких навыков участников программы;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уровня </w:t>
      </w:r>
      <w:proofErr w:type="spellStart"/>
      <w:r>
        <w:rPr>
          <w:rFonts w:ascii="Roboto" w:hAnsi="Roboto"/>
          <w:color w:val="343A40"/>
        </w:rPr>
        <w:t>мотивированности</w:t>
      </w:r>
      <w:proofErr w:type="spellEnd"/>
      <w:r>
        <w:rPr>
          <w:rFonts w:ascii="Roboto" w:hAnsi="Roboto"/>
          <w:color w:val="343A40"/>
        </w:rPr>
        <w:t xml:space="preserve"> и осознанности участников в вопросах саморазвития и профессионального образования;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качества изменений в освоении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 xml:space="preserve"> образовательных программ;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степени включенности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 в образовательные процессы организации;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качества адаптации молодого специалиста на потенциальном месте работы, удовлетворенности педагогов собственной профессиональной деятельностью, а также описание психологического климата в школе.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Все это позволит увидеть, как повлияла программа наставничества на участников, и спрогнозировать их дальнейшее развитие. Другим результатом мониторинга будут данные анализа и внесенные на их основании корректировки в рекомендации наиболее целесообразного объединения участников в пары "наставник - наставляемый".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 xml:space="preserve">Оценку степени включенности участников программы в ее этапы, уровень личной удовлетворенности программой и динамики развития различных навыков, а также оценку качества изменений в освоении обучающимися соответствующих образовательных </w:t>
      </w:r>
      <w:r>
        <w:rPr>
          <w:rFonts w:ascii="Roboto" w:hAnsi="Roboto"/>
          <w:color w:val="343A40"/>
        </w:rPr>
        <w:lastRenderedPageBreak/>
        <w:t>программ можно провести с помощью материалов, представленных в разделах 2.5 и 2.6 Приложения 2 к методическим рекомендациям ведомственного проектного офиса по внедрению целевой модели наставничества.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Среди оцениваемых параметров: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вовлеченность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 в образовательную деятельность;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успеваемость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 xml:space="preserve"> по основным предметам;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уровень </w:t>
      </w:r>
      <w:proofErr w:type="spellStart"/>
      <w:r>
        <w:rPr>
          <w:rFonts w:ascii="Roboto" w:hAnsi="Roboto"/>
          <w:color w:val="343A40"/>
        </w:rPr>
        <w:t>сформированности</w:t>
      </w:r>
      <w:proofErr w:type="spellEnd"/>
      <w:r>
        <w:rPr>
          <w:rFonts w:ascii="Roboto" w:hAnsi="Roboto"/>
          <w:color w:val="343A40"/>
        </w:rPr>
        <w:t xml:space="preserve"> гибких навыков;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желание посещения школы (для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>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уровень личностной тревожности (для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>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понимание собственного будущего (для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>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эмоциональное состояние при посещении школы (для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>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желание высокой школьной успеваемости (для </w:t>
      </w:r>
      <w:proofErr w:type="gramStart"/>
      <w:r>
        <w:rPr>
          <w:rFonts w:ascii="Roboto" w:hAnsi="Roboto"/>
          <w:color w:val="343A40"/>
        </w:rPr>
        <w:t>обучающихся</w:t>
      </w:r>
      <w:proofErr w:type="gramEnd"/>
      <w:r>
        <w:rPr>
          <w:rFonts w:ascii="Roboto" w:hAnsi="Roboto"/>
          <w:color w:val="343A40"/>
        </w:rPr>
        <w:t>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уровень профессионального выгорания (для педагогов);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удовлетворенность профессией (для педагогов);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психологический климат в педагогическом коллективе (для педагогов);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успешность (для работодателей);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ожидаемый и реальный уровень включенности (для работодателей);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ожидаемый и реальный процент возможных приглашений на стажировку (для работодателей).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7. Показатели эффективности внедрения целевой модели наставничества в субъектах Российской Федерации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Наименование показателя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2020 г.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2024 г.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Доля детей в возрасте от 10 до 19 лет, проживающих в субъекте Российской Федерации, вошедших в программы наставничества в роли наставляемого, %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10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70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(отношение количества детей в возрасте от 10 до 19 лет, вошедших в программы наставничества в роли наставляемого, к общему количеству детей, проживающих в субъекте Российской Федерации)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Доля детей и подростков в возрасте от 15 до 19 лет, проживающих в субъекте Российской Федерации, вошедших в программы наставничества в роли наставника, %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10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(отношение количества детей и подростков в возрасте от 15 до 19 лет, вошедших в программы наставничества в роли наставника, к общему количеству детей и подростков в возрасте от 15 до 19 лет, проживающих в субъекте Российской Федерации)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Доля учителей - молодых специалистов (с опытом работы от 0 до 3 лет), проживающих в субъекте Российской Федерации, вошедших в программы наставничества в роли наставляемого, %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10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70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(отношение количества учителей - молодых специалистов, вошедших в программы наставничества в роли наставляемого, к общему количеству учителей - молодых специалистов, проживающих в субъекте Российской Федерации)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Доля предприятий (организаций) от общего количества предприятий, осуществляющих деятельность в субъекте Российской Федерации, вошедших в программы наставничества, предоставив своих наставников, %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30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(отношение количества предприятий, предоставивших своих сотрудников для участия в программах наставничества в роли наставников, к общему количеству предприятий, осуществляющих деятельность в субъекте Российской Федерации)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Уровень удовлетворенности наставляемых участием в программах наставничества, % (опросный)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50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85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(отношение количества наставляемых, удовлетворенных участием в программах наставничества, к общему количеству наставляемых, принявших участие в программах наставничества, реализуемых в субъекте Российской Федерации)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Уровень удовлетворенности наставников участием в программах наставничества, % (опросный)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50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85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(отношение количества наставников, удовлетворенных участием в программах наставничества, к общему количеству наставников, принявших участие в программах наставничества, реализуемых в субъекте Российской Федерации)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8. Нормативные основы целевой модели наставничества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8.1. Целевая модель наставничества опирается на нормативные правовые акты Российской Федерации и разработана с целью формирования организационно-методической основы для внедрения в субъектах Российской Федерации и последующего развития механизмов </w:t>
      </w:r>
      <w:proofErr w:type="gramStart"/>
      <w:r>
        <w:rPr>
          <w:rFonts w:ascii="Roboto" w:hAnsi="Roboto"/>
          <w:color w:val="343A40"/>
        </w:rPr>
        <w:t>наставничества</w:t>
      </w:r>
      <w:proofErr w:type="gramEnd"/>
      <w:r>
        <w:rPr>
          <w:rFonts w:ascii="Roboto" w:hAnsi="Roboto"/>
          <w:color w:val="343A40"/>
        </w:rPr>
        <w:t xml:space="preserve"> обучающихся образовательных организаций, в том числе с применением лучших практик обмена опытом между обучающимися и привлечением представителей региональных предприятий и организаций к этой деятельности.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Стратегия развития воспитания в Российской Федерации до 2025 года &lt;1&gt; актуализирует задачу объединения усилий с целью реализации единой государственной политики в области воспитания, определения сущностных характеристик современного воспитательного процесса, обмена инновационным опытом, популяризации лучших практик поддержки и раскрытия потенциала детей и подростков, в том числе посредством привлечения волонтеров-наставников.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--------------------------------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&lt;1&gt; Стратегия развития воспитания в Российской Федерации до 2025 года, утвержденная распоряжением Правительства Российской Федерации от 29 мая 2015 г. N 996-р.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Нормативные правовые основания такой деятельности в Российской Федерации обеспечиваются рядом документов, соответствующих требованиям международных актов, конвенций, в том числе: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Всеобщей Декларацией добровольчества, принятой на XVI Всемирной конференции Международной ассоциации добровольческих усилий (IAVE, Амстердам, январь, 2001 год);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Конвенцией о правах ребенка, одобренной Генеральной Ассамблеей ООН 20 ноября 1989 г., ратифицированной Постановлением ВС СССР от 13 июня 1990 г. N 1559;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Резолюцией Европейского парламента 2011/2088(INI) от 1 декабря 2011 г. "О предотвращении преждевременного оставления школы".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8.2. Целевая модель наставничества реализуется в целях поддержки формирования личности, саморазвития и раскрытия потенциала обучающегося, педагога или молодого специалиста. Один из способов раскрытия потенциала - формирование активной жизненной позиции обучающихся и стремление заниматься добровольческой деятельностью, способствующей самореализации личности. Нормативную правовую базу этой деятельности в нашей стране в разных сферах на федеральном уровне обеспечивают: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Конституция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Гражданский кодекс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Трудовой кодекс Российской Федерации;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Федеральный закон от 11 августа 1995 г. N 135-ФЗ "О благотворительной деятельности и благотворительных организациях";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Федеральный закон от 19 мая 1995 г. N 82-ФЗ "Об общественных объединениях";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Федеральный закон от 12 января 1996 г. N 7-ФЗ "О некоммерческих организациях";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lastRenderedPageBreak/>
        <w:t>Концепция содействия развитию благотворительной деятельности и добровольчества в Российской Федерации на период до 2025 года, утвержденная распоряжением Правительства Российской Федерации от 15 ноября 2019 г. N 2705-р).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8.3. Наставническую деятельность, в том числе в образовательной среде, регламентируют: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N 45 от 14 мая 2010 г.);</w:t>
      </w:r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proofErr w:type="gramStart"/>
      <w:r>
        <w:rPr>
          <w:rFonts w:ascii="Roboto" w:hAnsi="Roboto"/>
          <w:color w:val="343A40"/>
        </w:rPr>
        <w:t>Основы государственной молодежной политики Российской Федерации на период до 2025 года, утвержденные распоряжением Правительства Российской Федерации от 29 ноября 2014 г. N 2403-Р);</w:t>
      </w:r>
      <w:proofErr w:type="gramEnd"/>
    </w:p>
    <w:p w:rsidR="001C2EDB" w:rsidRDefault="001C2EDB" w:rsidP="001C2EDB">
      <w:pPr>
        <w:pStyle w:val="aj"/>
        <w:shd w:val="clear" w:color="auto" w:fill="F8F9FA"/>
        <w:spacing w:line="390" w:lineRule="atLeast"/>
        <w:jc w:val="both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Федеральный закон от 29 декабря 2012 г. N 273-ФЗ "Об образовании в Российской Федерации".</w:t>
      </w:r>
    </w:p>
    <w:p w:rsidR="001C2EDB" w:rsidRDefault="001C2EDB" w:rsidP="001C2EDB">
      <w:pPr>
        <w:pStyle w:val="ar"/>
        <w:shd w:val="clear" w:color="auto" w:fill="F8F9FA"/>
        <w:spacing w:line="390" w:lineRule="atLeast"/>
        <w:jc w:val="righ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Приложение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ПРИМЕРНЫЕ ФОРМЫ ДОКУМЕНТОВ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1. Примерная форма базы </w:t>
      </w:r>
      <w:proofErr w:type="gramStart"/>
      <w:r>
        <w:rPr>
          <w:rFonts w:ascii="Roboto" w:hAnsi="Roboto"/>
          <w:color w:val="343A40"/>
        </w:rPr>
        <w:t>наставляемых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ФИО </w:t>
      </w:r>
      <w:proofErr w:type="gramStart"/>
      <w:r>
        <w:rPr>
          <w:rFonts w:ascii="Roboto" w:hAnsi="Roboto"/>
          <w:color w:val="343A40"/>
        </w:rPr>
        <w:t>наставляемого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Контактные данные для связи (данные представителя)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Год рождения </w:t>
      </w:r>
      <w:proofErr w:type="gramStart"/>
      <w:r>
        <w:rPr>
          <w:rFonts w:ascii="Roboto" w:hAnsi="Roboto"/>
          <w:color w:val="343A40"/>
        </w:rPr>
        <w:t>наставляемого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Основной запрос </w:t>
      </w:r>
      <w:proofErr w:type="gramStart"/>
      <w:r>
        <w:rPr>
          <w:rFonts w:ascii="Roboto" w:hAnsi="Roboto"/>
          <w:color w:val="343A40"/>
        </w:rPr>
        <w:t>наставляемого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Дата вхождения в программу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ФИО наставника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Форма наставничества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Место работы/учебы наставника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Дата завершения программы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Результаты программы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Ссылка на кейс/отзыв </w:t>
      </w:r>
      <w:proofErr w:type="gramStart"/>
      <w:r>
        <w:rPr>
          <w:rFonts w:ascii="Roboto" w:hAnsi="Roboto"/>
          <w:color w:val="343A40"/>
        </w:rPr>
        <w:t>наставляемого</w:t>
      </w:r>
      <w:proofErr w:type="gramEnd"/>
      <w:r>
        <w:rPr>
          <w:rFonts w:ascii="Roboto" w:hAnsi="Roboto"/>
          <w:color w:val="343A40"/>
        </w:rPr>
        <w:t>, размещенные на сайте организации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Отметка о прохождении программы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1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2. Примерная форма базы наставников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ФИО наставника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Контактные данные для связи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Место работы/учебы наставника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Основные компетенции наставника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Важные для программы достижения наставника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Интересы наставника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Желаемый возраст </w:t>
      </w:r>
      <w:proofErr w:type="gramStart"/>
      <w:r>
        <w:rPr>
          <w:rFonts w:ascii="Roboto" w:hAnsi="Roboto"/>
          <w:color w:val="343A40"/>
        </w:rPr>
        <w:t>наставляемых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Ресурс времени на программу наставничества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Дата вхождения в программу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ФИО </w:t>
      </w:r>
      <w:proofErr w:type="gramStart"/>
      <w:r>
        <w:rPr>
          <w:rFonts w:ascii="Roboto" w:hAnsi="Roboto"/>
          <w:color w:val="343A40"/>
        </w:rPr>
        <w:t>наставляемого</w:t>
      </w:r>
      <w:proofErr w:type="gramEnd"/>
      <w:r>
        <w:rPr>
          <w:rFonts w:ascii="Roboto" w:hAnsi="Roboto"/>
          <w:color w:val="343A40"/>
        </w:rPr>
        <w:t xml:space="preserve"> (наставляемых)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Форма наставничества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Место работы/учебы </w:t>
      </w:r>
      <w:proofErr w:type="gramStart"/>
      <w:r>
        <w:rPr>
          <w:rFonts w:ascii="Roboto" w:hAnsi="Roboto"/>
          <w:color w:val="343A40"/>
        </w:rPr>
        <w:t>наставляемого</w:t>
      </w:r>
      <w:proofErr w:type="gramEnd"/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Дата завершения программы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Результаты программы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Ссылка на кейс/отзыв наставника, размещенные на сайте организации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1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2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3. Примерная форма дорожной карты внедрения целевой модели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наставничества в образовательной организации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Мероприятие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Сроки</w:t>
      </w:r>
    </w:p>
    <w:p w:rsidR="001C2EDB" w:rsidRDefault="001C2EDB" w:rsidP="001C2EDB">
      <w:pPr>
        <w:pStyle w:val="ac"/>
        <w:shd w:val="clear" w:color="auto" w:fill="F8F9FA"/>
        <w:spacing w:before="150" w:beforeAutospacing="0" w:after="150" w:afterAutospacing="0" w:line="390" w:lineRule="atLeast"/>
        <w:jc w:val="center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Ответственные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Информирование педагогического сообщества образовательной организации о реализации программы наставничества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Информирование родительского сообщества о планируемой реализации программы наставничества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Встреча с </w:t>
      </w:r>
      <w:proofErr w:type="gramStart"/>
      <w:r>
        <w:rPr>
          <w:rFonts w:ascii="Roboto" w:hAnsi="Roboto"/>
          <w:color w:val="343A40"/>
        </w:rPr>
        <w:t>обучающимися</w:t>
      </w:r>
      <w:proofErr w:type="gramEnd"/>
      <w:r>
        <w:rPr>
          <w:rFonts w:ascii="Roboto" w:hAnsi="Roboto"/>
          <w:color w:val="343A40"/>
        </w:rPr>
        <w:t xml:space="preserve"> образовательной организации с информированием о реализуемой программе наставничества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анкетирования среди обучающихся/педагогов, желающих принять участие в программе наставничества. Сбор согласий на сбор и обработку персональных данных от совершеннолетних участников программы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Анализ полученных от наставляемых и третьих лиц данных. Формирование базы </w:t>
      </w:r>
      <w:proofErr w:type="gramStart"/>
      <w:r>
        <w:rPr>
          <w:rFonts w:ascii="Roboto" w:hAnsi="Roboto"/>
          <w:color w:val="343A40"/>
        </w:rPr>
        <w:t>наставляемых</w:t>
      </w:r>
      <w:proofErr w:type="gramEnd"/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Выбор форм наставничества, реализуемых в рамках текущей программы наставничества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Анализ заполненных анкет потенциальных наставников и сопоставление данных с анкетами наставляемых. Формирование базы наставников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собеседования с наставниками (в некоторых случаях с привлечением психолога)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Поиск экспертов и материалов </w:t>
      </w:r>
      <w:proofErr w:type="gramStart"/>
      <w:r>
        <w:rPr>
          <w:rFonts w:ascii="Roboto" w:hAnsi="Roboto"/>
          <w:color w:val="343A40"/>
        </w:rPr>
        <w:t>для</w:t>
      </w:r>
      <w:proofErr w:type="gramEnd"/>
      <w:r>
        <w:rPr>
          <w:rFonts w:ascii="Roboto" w:hAnsi="Roboto"/>
          <w:color w:val="343A40"/>
        </w:rPr>
        <w:t xml:space="preserve"> </w:t>
      </w:r>
      <w:proofErr w:type="gramStart"/>
      <w:r>
        <w:rPr>
          <w:rFonts w:ascii="Roboto" w:hAnsi="Roboto"/>
          <w:color w:val="343A40"/>
        </w:rPr>
        <w:t>проведение</w:t>
      </w:r>
      <w:proofErr w:type="gramEnd"/>
      <w:r>
        <w:rPr>
          <w:rFonts w:ascii="Roboto" w:hAnsi="Roboto"/>
          <w:color w:val="343A40"/>
        </w:rPr>
        <w:t xml:space="preserve"> обучения наставников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Обучение наставников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Организация групповой встречи наставников и наставляемых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анкетирования на предмет предпочитаемого наставника/наставляемого после завершения групповой встречи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Анализ анкет групповой встречи и соединение наставников и наставляемых в пары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Информирование участников о сложившихся парах/группах. Закрепление пар/групп распоряжением руководителя образовательной организации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первой, организационной, встречи наставника и наставляемого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второй, пробной рабочей, встречи наставника и наставляемого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встречи-планирования рабочего процесса в рамках программы наставничества с наставником и наставляемым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Регулярные встречи наставника и наставляемого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Сроки сбора обратной связи от участников программы наставничества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заключительной встречи наставника и наставляемого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групповой заключительной встречи всех пар и групп наставников и наставляемых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Анкетирование участников. Проведение мониторинга личной удовлетворенности участием в программе наставничества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Приглашение на торжественное мероприятие всех участников программы наставничества, их родных, представителей организаций-партнеров, представителей администрации муниципалитета, представителей иных образовательных организаций и некоммерческих организаций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Проведение торжественного мероприятия для подведения итогов программы наставничества и награждения лучших наставников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 xml:space="preserve">Проведение </w:t>
      </w:r>
      <w:proofErr w:type="gramStart"/>
      <w:r>
        <w:rPr>
          <w:rFonts w:ascii="Roboto" w:hAnsi="Roboto"/>
          <w:color w:val="343A40"/>
        </w:rPr>
        <w:t>мониторинга качества реализации программы наставничества</w:t>
      </w:r>
      <w:proofErr w:type="gramEnd"/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lastRenderedPageBreak/>
        <w:t>Оценка участников по заданным параметрам, проведение второго, заключающего этапа мониторинга влияния программ на всех участников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Оформление итогов и процессов совместной работы в рамках программы наставничества в кейсы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</w:r>
    </w:p>
    <w:p w:rsidR="001C2EDB" w:rsidRDefault="001C2EDB" w:rsidP="001C2EDB">
      <w:pPr>
        <w:pStyle w:val="al"/>
        <w:shd w:val="clear" w:color="auto" w:fill="F8F9FA"/>
        <w:spacing w:line="390" w:lineRule="atLeast"/>
        <w:rPr>
          <w:rFonts w:ascii="Roboto" w:hAnsi="Roboto"/>
          <w:color w:val="343A40"/>
        </w:rPr>
      </w:pPr>
      <w:r>
        <w:rPr>
          <w:rFonts w:ascii="Roboto" w:hAnsi="Roboto"/>
          <w:color w:val="343A40"/>
        </w:rPr>
        <w:t>Внесение данных об итогах реализации программы наставничества в базу наставников и базу наставляемых</w:t>
      </w:r>
    </w:p>
    <w:p w:rsidR="00961302" w:rsidRDefault="00961302"/>
    <w:sectPr w:rsidR="00961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1BC"/>
    <w:rsid w:val="000B11BC"/>
    <w:rsid w:val="001C2EDB"/>
    <w:rsid w:val="00961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">
    <w:name w:val="al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c">
    <w:name w:val="ac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j">
    <w:name w:val="aj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">
    <w:name w:val="ar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">
    <w:name w:val="al"/>
    <w:basedOn w:val="a"/>
    <w:rsid w:val="001C2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6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32</Pages>
  <Words>7824</Words>
  <Characters>44603</Characters>
  <Application>Microsoft Office Word</Application>
  <DocSecurity>0</DocSecurity>
  <Lines>371</Lines>
  <Paragraphs>104</Paragraphs>
  <ScaleCrop>false</ScaleCrop>
  <Company/>
  <LinksUpToDate>false</LinksUpToDate>
  <CharactersWithSpaces>52323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2022-10-20T13:14:00Z</dcterms:created>
  <dcterms:modified xsi:type="dcterms:W3CDTF">2022-10-20T13:15:00Z</dcterms:modified>
</cp:coreProperties>
</file>